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0987"/>
      <w:bookmarkStart w:id="1" w:name="_Toc15310"/>
    </w:p>
    <w:p w14:paraId="2304CE8E">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济南成型厂铸件清理部桥壳机加工（北线）自动化区域安全提升改造  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 ZBGL2026060138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31406235"/>
      <w:bookmarkStart w:id="3" w:name="_Toc23462"/>
      <w:bookmarkStart w:id="4" w:name="_Toc16518"/>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铸件清理部桥壳机加工（北线）自动化区域安全提升改造项目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5514"/>
      <w:bookmarkEnd w:id="6"/>
      <w:bookmarkStart w:id="7" w:name="_Toc285809451"/>
      <w:bookmarkEnd w:id="7"/>
      <w:bookmarkStart w:id="8" w:name="_Toc152042290"/>
      <w:bookmarkEnd w:id="8"/>
      <w:bookmarkStart w:id="9" w:name="_Toc179632530"/>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铸件清理部桥壳机加工（北线）自动化区域安全提升改造项目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ZBGL2026060138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现场开标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本次招标为中国重汽济南成型厂铸件清理部桥壳机加工（北线）自动化区域安全提升改造项目，具体内容如下：</w:t>
      </w:r>
    </w:p>
    <w:tbl>
      <w:tblPr>
        <w:tblStyle w:val="49"/>
        <w:tblW w:w="44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4388"/>
        <w:gridCol w:w="2431"/>
        <w:gridCol w:w="909"/>
      </w:tblGrid>
      <w:tr w14:paraId="26609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94" w:type="pct"/>
            <w:vAlign w:val="center"/>
          </w:tcPr>
          <w:p w14:paraId="45B0E38C">
            <w:pPr>
              <w:spacing w:line="320" w:lineRule="exact"/>
              <w:jc w:val="center"/>
              <w:rPr>
                <w:rFonts w:ascii="宋体"/>
              </w:rPr>
            </w:pPr>
            <w:r>
              <w:rPr>
                <w:rFonts w:hint="eastAsia" w:ascii="宋体"/>
              </w:rPr>
              <w:t>序号</w:t>
            </w:r>
          </w:p>
        </w:tc>
        <w:tc>
          <w:tcPr>
            <w:tcW w:w="2671" w:type="pct"/>
            <w:vAlign w:val="center"/>
          </w:tcPr>
          <w:p w14:paraId="11CE120C">
            <w:pPr>
              <w:spacing w:line="320" w:lineRule="exact"/>
              <w:jc w:val="center"/>
              <w:rPr>
                <w:rFonts w:ascii="宋体"/>
              </w:rPr>
            </w:pPr>
            <w:r>
              <w:rPr>
                <w:rFonts w:hint="eastAsia" w:ascii="宋体"/>
              </w:rPr>
              <w:t>项目名称</w:t>
            </w:r>
          </w:p>
        </w:tc>
        <w:tc>
          <w:tcPr>
            <w:tcW w:w="1480" w:type="pct"/>
            <w:vAlign w:val="center"/>
          </w:tcPr>
          <w:p w14:paraId="2D88FF49">
            <w:pPr>
              <w:jc w:val="center"/>
              <w:rPr>
                <w:rFonts w:hint="default" w:ascii="宋体" w:eastAsia="宋体"/>
                <w:lang w:val="en-US" w:eastAsia="zh-CN"/>
              </w:rPr>
            </w:pPr>
            <w:r>
              <w:rPr>
                <w:rFonts w:hint="eastAsia" w:ascii="宋体"/>
                <w:lang w:val="en-US" w:eastAsia="zh-CN"/>
              </w:rPr>
              <w:t>设备名称</w:t>
            </w:r>
          </w:p>
        </w:tc>
        <w:tc>
          <w:tcPr>
            <w:tcW w:w="553" w:type="pct"/>
            <w:vAlign w:val="center"/>
          </w:tcPr>
          <w:p w14:paraId="0B9D9418">
            <w:pPr>
              <w:spacing w:line="320" w:lineRule="exact"/>
              <w:jc w:val="center"/>
              <w:rPr>
                <w:rFonts w:hint="default" w:ascii="宋体" w:eastAsia="宋体"/>
                <w:lang w:val="en-US" w:eastAsia="zh-CN"/>
              </w:rPr>
            </w:pPr>
            <w:r>
              <w:rPr>
                <w:rFonts w:hint="eastAsia" w:ascii="宋体"/>
                <w:lang w:val="en-US" w:eastAsia="zh-CN"/>
              </w:rPr>
              <w:t>数量</w:t>
            </w:r>
          </w:p>
        </w:tc>
      </w:tr>
      <w:tr w14:paraId="3BD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94" w:type="pct"/>
            <w:vAlign w:val="center"/>
          </w:tcPr>
          <w:p w14:paraId="01386537">
            <w:pPr>
              <w:spacing w:line="320" w:lineRule="exact"/>
              <w:jc w:val="center"/>
              <w:rPr>
                <w:rFonts w:hint="eastAsia" w:ascii="宋体"/>
              </w:rPr>
            </w:pPr>
            <w:r>
              <w:rPr>
                <w:rFonts w:hint="eastAsia" w:ascii="宋体"/>
              </w:rPr>
              <w:t>1</w:t>
            </w:r>
          </w:p>
        </w:tc>
        <w:tc>
          <w:tcPr>
            <w:tcW w:w="2671" w:type="pct"/>
            <w:vAlign w:val="center"/>
          </w:tcPr>
          <w:p w14:paraId="24660A62">
            <w:pPr>
              <w:spacing w:line="320" w:lineRule="exact"/>
              <w:jc w:val="center"/>
              <w:rPr>
                <w:rFonts w:hint="eastAsia" w:ascii="宋体"/>
                <w:lang w:eastAsia="zh-CN"/>
              </w:rPr>
            </w:pPr>
            <w:r>
              <w:rPr>
                <w:rFonts w:hint="eastAsia"/>
                <w:lang w:val="en-US" w:eastAsia="zh-CN"/>
              </w:rPr>
              <w:t>铸件清理部桥壳机加工（北线）自动化区域安全提升改造</w:t>
            </w:r>
          </w:p>
        </w:tc>
        <w:tc>
          <w:tcPr>
            <w:tcW w:w="1480" w:type="pct"/>
            <w:vAlign w:val="center"/>
          </w:tcPr>
          <w:p w14:paraId="1A270DCE">
            <w:pPr>
              <w:spacing w:line="320" w:lineRule="exact"/>
              <w:jc w:val="center"/>
              <w:rPr>
                <w:rFonts w:hint="default" w:ascii="宋体"/>
                <w:lang w:val="en-US" w:eastAsia="zh-CN"/>
              </w:rPr>
            </w:pPr>
            <w:r>
              <w:rPr>
                <w:rFonts w:hint="eastAsia" w:ascii="宋体"/>
                <w:lang w:val="en-US" w:eastAsia="zh-CN"/>
              </w:rPr>
              <w:t>北线自动化线</w:t>
            </w:r>
          </w:p>
        </w:tc>
        <w:tc>
          <w:tcPr>
            <w:tcW w:w="553" w:type="pct"/>
            <w:vAlign w:val="center"/>
          </w:tcPr>
          <w:p w14:paraId="220942DB">
            <w:pPr>
              <w:spacing w:line="320" w:lineRule="exact"/>
              <w:jc w:val="center"/>
              <w:rPr>
                <w:rFonts w:hint="default" w:ascii="宋体"/>
                <w:lang w:val="en-US" w:eastAsia="zh-CN"/>
              </w:rPr>
            </w:pPr>
            <w:r>
              <w:rPr>
                <w:rFonts w:hint="eastAsia" w:ascii="宋体"/>
                <w:lang w:val="en-US" w:eastAsia="zh-CN"/>
              </w:rPr>
              <w:t>1宗</w:t>
            </w:r>
          </w:p>
        </w:tc>
      </w:tr>
    </w:tbl>
    <w:p w14:paraId="1493F4D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；经营范围具有电气自动化设备，机械安全防护系统设计、安装、调试能力，计算机系统服务，软件开发、咨询，机械设备制造、销售，零部件加工、制作、维修及销售，熟悉GB/T 19876、GB/T 15706等机械安全标准，同时对安全围栏、安全门开关、安全光栅、安全继电器等产品的标准制定及应用，检测服务等相关资质。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报名截止时间：2026年7月1日17:00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2026年7月8日9:00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2026年7月8日13:30（若有变动，另行通知）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技术联系人：郝鹏举 15288859630</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6F38B2E2">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yellow"/>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2026年7月7日17：00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w:t>
      </w:r>
      <w:bookmarkStart w:id="23" w:name="_GoBack"/>
      <w:bookmarkEnd w:id="23"/>
      <w:r>
        <w:rPr>
          <w:rFonts w:hint="eastAsia" w:ascii="宋体" w:hAnsi="宋体" w:cs="宋体"/>
          <w:sz w:val="24"/>
          <w:szCs w:val="24"/>
          <w:highlight w:val="none"/>
        </w:rPr>
        <w:t>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6"/>
      <w:bookmarkStart w:id="11" w:name="OLE_LINK28"/>
      <w:bookmarkStart w:id="12" w:name="OLE_LINK27"/>
      <w:bookmarkStart w:id="13" w:name="OLE_LINK25"/>
      <w:bookmarkStart w:id="14" w:name="OLE_LINK29"/>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0CB31638">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项目名称：铸件清理部桥壳机加工（北线）自动化区域安全提升改造</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集团济南成型厂铸件清理部桥壳机加工（北线）自动化区域安全提升改造</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4711"/>
        <w:gridCol w:w="2111"/>
        <w:gridCol w:w="1297"/>
      </w:tblGrid>
      <w:tr w14:paraId="061D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282" w:type="pct"/>
            <w:vAlign w:val="center"/>
          </w:tcPr>
          <w:p w14:paraId="14EA37D4">
            <w:pPr>
              <w:spacing w:line="320" w:lineRule="exact"/>
              <w:jc w:val="center"/>
              <w:rPr>
                <w:rFonts w:ascii="宋体"/>
              </w:rPr>
            </w:pPr>
            <w:r>
              <w:rPr>
                <w:rFonts w:hint="eastAsia" w:ascii="宋体"/>
              </w:rPr>
              <w:t>序号</w:t>
            </w:r>
          </w:p>
        </w:tc>
        <w:tc>
          <w:tcPr>
            <w:tcW w:w="2737" w:type="pct"/>
            <w:vAlign w:val="center"/>
          </w:tcPr>
          <w:p w14:paraId="3DF84EA9">
            <w:pPr>
              <w:spacing w:line="320" w:lineRule="exact"/>
              <w:jc w:val="center"/>
              <w:rPr>
                <w:rFonts w:ascii="宋体"/>
              </w:rPr>
            </w:pPr>
            <w:r>
              <w:rPr>
                <w:rFonts w:hint="eastAsia" w:ascii="宋体"/>
              </w:rPr>
              <w:t>项目名称</w:t>
            </w:r>
          </w:p>
        </w:tc>
        <w:tc>
          <w:tcPr>
            <w:tcW w:w="1226" w:type="pct"/>
            <w:vAlign w:val="center"/>
          </w:tcPr>
          <w:p w14:paraId="564DE5B9">
            <w:pPr>
              <w:jc w:val="center"/>
              <w:rPr>
                <w:rFonts w:hint="default" w:ascii="宋体" w:eastAsia="宋体"/>
                <w:lang w:val="en-US" w:eastAsia="zh-CN"/>
              </w:rPr>
            </w:pPr>
            <w:r>
              <w:rPr>
                <w:rFonts w:hint="eastAsia" w:ascii="宋体"/>
                <w:lang w:val="en-US" w:eastAsia="zh-CN"/>
              </w:rPr>
              <w:t>设备名称</w:t>
            </w:r>
          </w:p>
        </w:tc>
        <w:tc>
          <w:tcPr>
            <w:tcW w:w="753" w:type="pct"/>
            <w:vAlign w:val="center"/>
          </w:tcPr>
          <w:p w14:paraId="5EB76B5A">
            <w:pPr>
              <w:spacing w:line="320" w:lineRule="exact"/>
              <w:jc w:val="center"/>
              <w:rPr>
                <w:rFonts w:hint="default" w:ascii="宋体" w:eastAsia="宋体"/>
                <w:lang w:val="en-US" w:eastAsia="zh-CN"/>
              </w:rPr>
            </w:pPr>
            <w:r>
              <w:rPr>
                <w:rFonts w:hint="eastAsia" w:ascii="宋体"/>
                <w:lang w:val="en-US" w:eastAsia="zh-CN"/>
              </w:rPr>
              <w:t>数量</w:t>
            </w:r>
          </w:p>
        </w:tc>
      </w:tr>
      <w:tr w14:paraId="5B4D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82" w:type="pct"/>
            <w:vAlign w:val="center"/>
          </w:tcPr>
          <w:p w14:paraId="310FC984">
            <w:pPr>
              <w:spacing w:line="320" w:lineRule="exact"/>
              <w:jc w:val="center"/>
              <w:rPr>
                <w:rFonts w:hint="eastAsia" w:ascii="宋体"/>
              </w:rPr>
            </w:pPr>
            <w:r>
              <w:rPr>
                <w:rFonts w:hint="eastAsia" w:ascii="宋体"/>
              </w:rPr>
              <w:t>1</w:t>
            </w:r>
          </w:p>
        </w:tc>
        <w:tc>
          <w:tcPr>
            <w:tcW w:w="2737" w:type="pct"/>
            <w:vAlign w:val="center"/>
          </w:tcPr>
          <w:p w14:paraId="7941C51B">
            <w:pPr>
              <w:spacing w:line="320" w:lineRule="exact"/>
              <w:jc w:val="center"/>
              <w:rPr>
                <w:rFonts w:hint="eastAsia" w:ascii="宋体"/>
                <w:lang w:eastAsia="zh-CN"/>
              </w:rPr>
            </w:pPr>
            <w:r>
              <w:rPr>
                <w:rFonts w:hint="eastAsia" w:ascii="宋体" w:hAnsi="Courier New" w:eastAsia="宋体" w:cstheme="minorBidi"/>
                <w:kern w:val="2"/>
                <w:sz w:val="21"/>
                <w:szCs w:val="22"/>
                <w:lang w:val="en-US" w:eastAsia="zh-CN" w:bidi="ar-SA"/>
              </w:rPr>
              <w:t>铸件清理部桥壳机加工（北线）自动化区域安全提升改造</w:t>
            </w:r>
          </w:p>
        </w:tc>
        <w:tc>
          <w:tcPr>
            <w:tcW w:w="1226" w:type="pct"/>
            <w:vAlign w:val="center"/>
          </w:tcPr>
          <w:p w14:paraId="4A2F6137">
            <w:pPr>
              <w:spacing w:line="320" w:lineRule="exact"/>
              <w:jc w:val="center"/>
              <w:rPr>
                <w:rFonts w:hint="default" w:ascii="宋体"/>
                <w:lang w:val="en-US" w:eastAsia="zh-CN"/>
              </w:rPr>
            </w:pPr>
            <w:r>
              <w:rPr>
                <w:rFonts w:hint="eastAsia" w:ascii="宋体"/>
                <w:lang w:val="en-US" w:eastAsia="zh-CN"/>
              </w:rPr>
              <w:t>北线自动化线</w:t>
            </w:r>
          </w:p>
        </w:tc>
        <w:tc>
          <w:tcPr>
            <w:tcW w:w="753" w:type="pct"/>
            <w:vAlign w:val="center"/>
          </w:tcPr>
          <w:p w14:paraId="44458739">
            <w:pPr>
              <w:spacing w:line="320" w:lineRule="exact"/>
              <w:jc w:val="center"/>
              <w:rPr>
                <w:rFonts w:hint="default" w:ascii="宋体"/>
                <w:lang w:val="en-US" w:eastAsia="zh-CN"/>
              </w:rPr>
            </w:pPr>
            <w:r>
              <w:rPr>
                <w:rFonts w:hint="eastAsia" w:ascii="宋体"/>
                <w:lang w:val="en-US" w:eastAsia="zh-CN"/>
              </w:rPr>
              <w:t>1宗</w:t>
            </w:r>
          </w:p>
        </w:tc>
      </w:tr>
    </w:tbl>
    <w:p w14:paraId="1D186EAC">
      <w:pPr>
        <w:pStyle w:val="25"/>
        <w:spacing w:line="360" w:lineRule="auto"/>
      </w:pPr>
      <w:r>
        <w:rPr>
          <w:rFonts w:hint="eastAsia" w:ascii="黑体" w:eastAsia="黑体"/>
          <w:b/>
          <w:bCs/>
          <w:sz w:val="28"/>
          <w:szCs w:val="28"/>
        </w:rPr>
        <w:t>二、招标方技术要求及施工内容</w:t>
      </w:r>
    </w:p>
    <w:p w14:paraId="24ED0E56">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济南成型厂</w:t>
      </w:r>
      <w:r>
        <w:rPr>
          <w:rFonts w:hint="eastAsia" w:ascii="宋体" w:hAnsi="Courier New" w:eastAsia="宋体" w:cstheme="minorBidi"/>
          <w:color w:val="auto"/>
          <w:kern w:val="2"/>
          <w:sz w:val="21"/>
          <w:szCs w:val="22"/>
          <w:highlight w:val="none"/>
          <w:lang w:val="en-US" w:eastAsia="zh-CN" w:bidi="ar-SA"/>
        </w:rPr>
        <w:t>铸件清理部桥壳机加工（北线）</w:t>
      </w:r>
      <w:r>
        <w:rPr>
          <w:rFonts w:hint="eastAsia" w:eastAsia="宋体" w:cstheme="minorBidi"/>
          <w:color w:val="auto"/>
          <w:kern w:val="2"/>
          <w:sz w:val="21"/>
          <w:szCs w:val="22"/>
          <w:highlight w:val="none"/>
          <w:lang w:val="en-US" w:eastAsia="zh-CN" w:bidi="ar-SA"/>
        </w:rPr>
        <w:t>由人工操作区域和自动化区域两部分组成，自动化区域主要包括两台铣连接板专机、三台板簧座专机、两台卧式加工中心、一台立式加工中心、一台清洗机、自动搬运线（四台机器人及附属装置）。</w:t>
      </w:r>
      <w:r>
        <w:rPr>
          <w:rFonts w:hint="eastAsia" w:ascii="宋体" w:hAnsi="Courier New" w:eastAsia="宋体" w:cstheme="minorBidi"/>
          <w:color w:val="auto"/>
          <w:kern w:val="2"/>
          <w:sz w:val="21"/>
          <w:szCs w:val="22"/>
          <w:highlight w:val="none"/>
          <w:lang w:val="en-US" w:eastAsia="zh-CN" w:bidi="ar-SA"/>
        </w:rPr>
        <w:t>投标方负责承揽招标方机加工（北线）自动化区域安全提升改造</w:t>
      </w:r>
      <w:r>
        <w:rPr>
          <w:rFonts w:hint="eastAsia" w:eastAsia="宋体" w:cstheme="minorBidi"/>
          <w:color w:val="auto"/>
          <w:kern w:val="2"/>
          <w:sz w:val="21"/>
          <w:szCs w:val="22"/>
          <w:highlight w:val="none"/>
          <w:lang w:val="en-US" w:eastAsia="zh-CN" w:bidi="ar-SA"/>
        </w:rPr>
        <w:t>项目的相关工作，相关技术要求如下：</w:t>
      </w:r>
    </w:p>
    <w:p w14:paraId="2AAB53C7">
      <w:pPr>
        <w:pStyle w:val="25"/>
        <w:keepNext w:val="0"/>
        <w:keepLines w:val="0"/>
        <w:pageBreakBefore w:val="0"/>
        <w:kinsoku/>
        <w:wordWrap/>
        <w:overflowPunct/>
        <w:topLinePunct w:val="0"/>
        <w:bidi w:val="0"/>
        <w:snapToGrid/>
        <w:spacing w:line="360" w:lineRule="auto"/>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drawing>
          <wp:inline distT="0" distB="0" distL="114300" distR="114300">
            <wp:extent cx="5810885" cy="2205355"/>
            <wp:effectExtent l="0" t="0" r="18415" b="4445"/>
            <wp:docPr id="11" name="图片 11" descr="941ba595f0403d1b503a7b77694d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41ba595f0403d1b503a7b77694d6487"/>
                    <pic:cNvPicPr>
                      <a:picLocks noChangeAspect="1"/>
                    </pic:cNvPicPr>
                  </pic:nvPicPr>
                  <pic:blipFill>
                    <a:blip r:embed="rId16"/>
                    <a:stretch>
                      <a:fillRect/>
                    </a:stretch>
                  </pic:blipFill>
                  <pic:spPr>
                    <a:xfrm>
                      <a:off x="0" y="0"/>
                      <a:ext cx="5810885" cy="2205355"/>
                    </a:xfrm>
                    <a:prstGeom prst="rect">
                      <a:avLst/>
                    </a:prstGeom>
                  </pic:spPr>
                </pic:pic>
              </a:graphicData>
            </a:graphic>
          </wp:inline>
        </w:drawing>
      </w:r>
    </w:p>
    <w:p w14:paraId="3035B2F3">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 xml:space="preserve">                 </w:t>
      </w:r>
      <w:r>
        <w:rPr>
          <w:rFonts w:hint="eastAsia" w:ascii="楷体_GB2312" w:hAnsi="楷体_GB2312" w:eastAsia="楷体_GB2312" w:cs="楷体_GB2312"/>
          <w:b w:val="0"/>
          <w:bCs w:val="0"/>
          <w:kern w:val="2"/>
          <w:sz w:val="21"/>
          <w:szCs w:val="22"/>
          <w:highlight w:val="none"/>
          <w:lang w:val="en-US" w:eastAsia="zh-CN" w:bidi="ar-SA"/>
        </w:rPr>
        <w:t xml:space="preserve"> 机加工北线示意图（具体位置和详细尺寸需到现场核实）</w:t>
      </w:r>
    </w:p>
    <w:p w14:paraId="6F473926">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1、投标方根据国家的相关标准，更新靠墙侧所有安全围栏，应不低于GB/T 42627《机械安全围栏防护系统安全要求》的要求。自动化区域以机器人的工作范围为基础，按工序进行分区隔断，每个分区之间不互通（原则上分4区，具体以现场测绘为准）。每个独立分区仅保留一扇安全门，新增带锁定功能的安全门开关（含请求解锁与复位功能）。安全门打开后，该分区内的自动搬运线设备（机器人）停止运行，其它分区的设备运行不受影响；安全门关闭后，需要操作人员手动进行复位后，方可恢复自动运行。</w:t>
      </w:r>
    </w:p>
    <w:p w14:paraId="6BF357D3">
      <w:pPr>
        <w:pStyle w:val="25"/>
        <w:keepNext w:val="0"/>
        <w:keepLines w:val="0"/>
        <w:pageBreakBefore w:val="0"/>
        <w:kinsoku/>
        <w:wordWrap/>
        <w:overflowPunct/>
        <w:topLinePunct w:val="0"/>
        <w:bidi w:val="0"/>
        <w:snapToGrid/>
        <w:spacing w:line="360" w:lineRule="auto"/>
        <w:ind w:firstLine="420" w:firstLineChars="200"/>
        <w:rPr>
          <w:highlight w:val="none"/>
        </w:rPr>
      </w:pPr>
      <w:r>
        <w:rPr>
          <w:sz w:val="21"/>
          <w:highlight w:val="none"/>
        </w:rPr>
        <mc:AlternateContent>
          <mc:Choice Requires="wpg">
            <w:drawing>
              <wp:anchor distT="0" distB="0" distL="114300" distR="114300" simplePos="0" relativeHeight="251659264" behindDoc="0" locked="0" layoutInCell="1" allowOverlap="1">
                <wp:simplePos x="0" y="0"/>
                <wp:positionH relativeFrom="column">
                  <wp:posOffset>2132965</wp:posOffset>
                </wp:positionH>
                <wp:positionV relativeFrom="paragraph">
                  <wp:posOffset>259080</wp:posOffset>
                </wp:positionV>
                <wp:extent cx="2660015" cy="746760"/>
                <wp:effectExtent l="12700" t="12700" r="13335" b="21590"/>
                <wp:wrapNone/>
                <wp:docPr id="21" name="组合 21"/>
                <wp:cNvGraphicFramePr/>
                <a:graphic xmlns:a="http://schemas.openxmlformats.org/drawingml/2006/main">
                  <a:graphicData uri="http://schemas.microsoft.com/office/word/2010/wordprocessingGroup">
                    <wpg:wgp>
                      <wpg:cNvGrpSpPr/>
                      <wpg:grpSpPr>
                        <a:xfrm>
                          <a:off x="0" y="0"/>
                          <a:ext cx="2660015" cy="746760"/>
                          <a:chOff x="5117" y="72546"/>
                          <a:chExt cx="4189" cy="1176"/>
                        </a:xfrm>
                      </wpg:grpSpPr>
                      <wps:wsp>
                        <wps:cNvPr id="22" name="矩形 15"/>
                        <wps:cNvSpPr/>
                        <wps:spPr>
                          <a:xfrm>
                            <a:off x="5117" y="72546"/>
                            <a:ext cx="451"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7DB0378F">
                              <w:pPr>
                                <w:jc w:val="center"/>
                                <w:rPr>
                                  <w:rFonts w:hint="default" w:asciiTheme="minorHAnsi" w:hAnsiTheme="minorHAnsi" w:eastAsiaTheme="minorEastAsia" w:cstheme="minorHAnsi"/>
                                  <w:color w:val="FF0000"/>
                                  <w:lang w:val="en-US" w:eastAsia="zh-CN"/>
                                </w:rPr>
                              </w:pPr>
                              <w:r>
                                <w:rPr>
                                  <w:rFonts w:hint="default" w:ascii="Calibri" w:hAnsi="Calibri" w:cs="Calibri" w:eastAsiaTheme="minorEastAsia"/>
                                  <w:color w:val="FF0000"/>
                                  <w:highlight w:val="none"/>
                                  <w:lang w:val="en-US" w:eastAsia="zh-CN"/>
                                </w:rPr>
                                <w:t>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矩形 16"/>
                        <wps:cNvSpPr/>
                        <wps:spPr>
                          <a:xfrm>
                            <a:off x="5585" y="72546"/>
                            <a:ext cx="2049" cy="1176"/>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13DEE032">
                              <w:pPr>
                                <w:jc w:val="center"/>
                                <w:rPr>
                                  <w:rFonts w:hint="eastAsia"/>
                                  <w:lang w:val="en-US" w:eastAsia="zh-CN"/>
                                </w:rPr>
                              </w:pPr>
                              <w:r>
                                <w:rPr>
                                  <w:rFonts w:hint="default" w:ascii="Calibri" w:hAnsi="Calibri" w:cs="Calibri"/>
                                  <w:color w:val="FF0000"/>
                                  <w:lang w:val="en-US" w:eastAsia="zh-CN"/>
                                </w:rPr>
                                <w:t>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7655" y="72546"/>
                            <a:ext cx="1137"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35A56FE8">
                              <w:pPr>
                                <w:jc w:val="center"/>
                                <w:rPr>
                                  <w:rFonts w:hint="eastAsia"/>
                                  <w:lang w:val="en-US" w:eastAsia="zh-CN"/>
                                </w:rPr>
                              </w:pPr>
                              <w:r>
                                <w:rPr>
                                  <w:rFonts w:hint="default" w:ascii="Calibri" w:hAnsi="Calibri" w:cs="Calibri" w:eastAsiaTheme="minorEastAsia"/>
                                  <w:color w:val="FF0000"/>
                                  <w:highlight w:val="none"/>
                                  <w:lang w:val="en-US" w:eastAsia="zh-CN"/>
                                </w:rPr>
                                <w:t>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18"/>
                        <wps:cNvSpPr/>
                        <wps:spPr>
                          <a:xfrm>
                            <a:off x="8795" y="72546"/>
                            <a:ext cx="511" cy="1170"/>
                          </a:xfrm>
                          <a:prstGeom prst="rect">
                            <a:avLst/>
                          </a:prstGeom>
                          <a:ln>
                            <a:solidFill>
                              <a:srgbClr val="C00000"/>
                            </a:solidFill>
                          </a:ln>
                        </wps:spPr>
                        <wps:style>
                          <a:lnRef idx="2">
                            <a:schemeClr val="accent6"/>
                          </a:lnRef>
                          <a:fillRef idx="0">
                            <a:srgbClr val="FFFFFF"/>
                          </a:fillRef>
                          <a:effectRef idx="0">
                            <a:srgbClr val="FFFFFF"/>
                          </a:effectRef>
                          <a:fontRef idx="minor">
                            <a:schemeClr val="tx1"/>
                          </a:fontRef>
                        </wps:style>
                        <wps:txbx>
                          <w:txbxContent>
                            <w:p w14:paraId="386CA172">
                              <w:pPr>
                                <w:jc w:val="center"/>
                                <w:rPr>
                                  <w:rFonts w:hint="eastAsia"/>
                                  <w:lang w:val="en-US" w:eastAsia="zh-CN"/>
                                </w:rPr>
                              </w:pPr>
                              <w:r>
                                <w:rPr>
                                  <w:rFonts w:hint="default" w:ascii="Calibri" w:hAnsi="Calibri" w:cs="Calibri" w:eastAsiaTheme="minorEastAsia"/>
                                  <w:color w:val="FF0000"/>
                                  <w:highlight w:val="none"/>
                                  <w:lang w:val="en-US" w:eastAsia="zh-CN"/>
                                </w:rPr>
                                <w:t>❹</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7.95pt;margin-top:20.4pt;height:58.8pt;width:209.45pt;z-index:251659264;mso-width-relative:page;mso-height-relative:page;" coordorigin="5117,72546" coordsize="4189,1176" o:gfxdata="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PF9GlvaAAAACgEAAA8AAAAAAAAAAQAgAAAAIgAAAGRycy9kb3ducmV2LnhtbFBLAQIU&#10;ABQAAAAIAIdO4kDmK/lzRwMAAKMOAAAOAAAAAAAAAAEAIAAAACkBAABkcnMvZTJvRG9jLnhtbFBL&#10;BQYAAAAABgAGAFkBAADiBgAAAAA=&#10;">
                <o:lock v:ext="edit" aspectratio="f"/>
                <v:rect id="矩形 15" o:spid="_x0000_s1026" o:spt="1" style="position:absolute;left:5117;top:72546;height:1170;width:451;v-text-anchor:middle;" filled="f" stroked="t" coordsize="21600,21600" o:gfxdata="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uNTq8AAAA&#10;2wAAAA8AAAAAAAAAAQAgAAAAIgAAAGRycy9kb3ducmV2LnhtbFBLAQIUABQAAAAIAIdO4kAzLwWe&#10;OwAAADkAAAAQAAAAAAAAAAEAIAAAAAsBAABkcnMvc2hhcGV4bWwueG1sUEsFBgAAAAAGAAYAWwEA&#10;ALUDAAAAAA==&#10;">
                  <v:fill on="f" focussize="0,0"/>
                  <v:stroke weight="2pt" color="#C00000 [3209]" joinstyle="round"/>
                  <v:imagedata o:title=""/>
                  <o:lock v:ext="edit" aspectratio="f"/>
                  <v:textbox>
                    <w:txbxContent>
                      <w:p w14:paraId="7DB0378F">
                        <w:pPr>
                          <w:jc w:val="center"/>
                          <w:rPr>
                            <w:rFonts w:hint="default" w:asciiTheme="minorHAnsi" w:hAnsiTheme="minorHAnsi" w:eastAsiaTheme="minorEastAsia" w:cstheme="minorHAnsi"/>
                            <w:color w:val="FF0000"/>
                            <w:lang w:val="en-US" w:eastAsia="zh-CN"/>
                          </w:rPr>
                        </w:pPr>
                        <w:r>
                          <w:rPr>
                            <w:rFonts w:hint="default" w:ascii="Calibri" w:hAnsi="Calibri" w:cs="Calibri" w:eastAsiaTheme="minorEastAsia"/>
                            <w:color w:val="FF0000"/>
                            <w:highlight w:val="none"/>
                            <w:lang w:val="en-US" w:eastAsia="zh-CN"/>
                          </w:rPr>
                          <w:t>❶</w:t>
                        </w:r>
                      </w:p>
                    </w:txbxContent>
                  </v:textbox>
                </v:rect>
                <v:rect id="_x0000_s1026" o:spid="_x0000_s1026" o:spt="1" style="position:absolute;left:5585;top:72546;height:1176;width:2049;v-text-anchor:middle;" filled="f" stroked="t" coordsize="21600,21600" o:gfxdata="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ufmEugAAANsA&#10;AAAPAAAAAAAAAAEAIAAAACIAAABkcnMvZG93bnJldi54bWxQSwECFAAUAAAACACHTuJAMy8FnjsA&#10;AAA5AAAAEAAAAAAAAAABACAAAAAJAQAAZHJzL3NoYXBleG1sLnhtbFBLBQYAAAAABgAGAFsBAACz&#10;AwAAAAA=&#10;">
                  <v:fill on="f" focussize="0,0"/>
                  <v:stroke weight="2pt" color="#C00000 [3209]" joinstyle="round"/>
                  <v:imagedata o:title=""/>
                  <o:lock v:ext="edit" aspectratio="f"/>
                  <v:textbox>
                    <w:txbxContent>
                      <w:p w14:paraId="13DEE032">
                        <w:pPr>
                          <w:jc w:val="center"/>
                          <w:rPr>
                            <w:rFonts w:hint="eastAsia"/>
                            <w:lang w:val="en-US" w:eastAsia="zh-CN"/>
                          </w:rPr>
                        </w:pPr>
                        <w:r>
                          <w:rPr>
                            <w:rFonts w:hint="default" w:ascii="Calibri" w:hAnsi="Calibri" w:cs="Calibri"/>
                            <w:color w:val="FF0000"/>
                            <w:lang w:val="en-US" w:eastAsia="zh-CN"/>
                          </w:rPr>
                          <w:t>❷</w:t>
                        </w:r>
                      </w:p>
                    </w:txbxContent>
                  </v:textbox>
                </v:rect>
                <v:rect id="_x0000_s1026" o:spid="_x0000_s1026" o:spt="1" style="position:absolute;left:7655;top:72546;height:1170;width:1137;v-text-anchor:middle;" filled="f" stroked="t" coordsize="21600,21600" o:gfxdata="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VwfugAAANsA&#10;AAAPAAAAAAAAAAEAIAAAACIAAABkcnMvZG93bnJldi54bWxQSwECFAAUAAAACACHTuJAMy8FnjsA&#10;AAA5AAAAEAAAAAAAAAABACAAAAAJAQAAZHJzL3NoYXBleG1sLnhtbFBLBQYAAAAABgAGAFsBAACz&#10;AwAAAAA=&#10;">
                  <v:fill on="f" focussize="0,0"/>
                  <v:stroke weight="2pt" color="#C00000 [3209]" joinstyle="round"/>
                  <v:imagedata o:title=""/>
                  <o:lock v:ext="edit" aspectratio="f"/>
                  <v:textbox>
                    <w:txbxContent>
                      <w:p w14:paraId="35A56FE8">
                        <w:pPr>
                          <w:jc w:val="center"/>
                          <w:rPr>
                            <w:rFonts w:hint="eastAsia"/>
                            <w:lang w:val="en-US" w:eastAsia="zh-CN"/>
                          </w:rPr>
                        </w:pPr>
                        <w:r>
                          <w:rPr>
                            <w:rFonts w:hint="default" w:ascii="Calibri" w:hAnsi="Calibri" w:cs="Calibri" w:eastAsiaTheme="minorEastAsia"/>
                            <w:color w:val="FF0000"/>
                            <w:highlight w:val="none"/>
                            <w:lang w:val="en-US" w:eastAsia="zh-CN"/>
                          </w:rPr>
                          <w:t>❸</w:t>
                        </w:r>
                      </w:p>
                    </w:txbxContent>
                  </v:textbox>
                </v:rect>
                <v:rect id="_x0000_s1026" o:spid="_x0000_s1026" o:spt="1" style="position:absolute;left:8795;top:72546;height:1170;width:511;v-text-anchor:middle;" filled="f" stroked="t" coordsize="21600,21600" o:gfxdata="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qyG28AAAA&#10;2wAAAA8AAAAAAAAAAQAgAAAAIgAAAGRycy9kb3ducmV2LnhtbFBLAQIUABQAAAAIAIdO4kAzLwWe&#10;OwAAADkAAAAQAAAAAAAAAAEAIAAAAAsBAABkcnMvc2hhcGV4bWwueG1sUEsFBgAAAAAGAAYAWwEA&#10;ALUDAAAAAA==&#10;">
                  <v:fill on="f" focussize="0,0"/>
                  <v:stroke weight="2pt" color="#C00000 [3209]" joinstyle="round"/>
                  <v:imagedata o:title=""/>
                  <o:lock v:ext="edit" aspectratio="f"/>
                  <v:textbox>
                    <w:txbxContent>
                      <w:p w14:paraId="386CA172">
                        <w:pPr>
                          <w:jc w:val="center"/>
                          <w:rPr>
                            <w:rFonts w:hint="eastAsia"/>
                            <w:lang w:val="en-US" w:eastAsia="zh-CN"/>
                          </w:rPr>
                        </w:pPr>
                        <w:r>
                          <w:rPr>
                            <w:rFonts w:hint="default" w:ascii="Calibri" w:hAnsi="Calibri" w:cs="Calibri" w:eastAsiaTheme="minorEastAsia"/>
                            <w:color w:val="FF0000"/>
                            <w:highlight w:val="none"/>
                            <w:lang w:val="en-US" w:eastAsia="zh-CN"/>
                          </w:rPr>
                          <w:t>❹</w:t>
                        </w:r>
                      </w:p>
                    </w:txbxContent>
                  </v:textbox>
                </v:rect>
              </v:group>
            </w:pict>
          </mc:Fallback>
        </mc:AlternateContent>
      </w:r>
      <w:r>
        <w:rPr>
          <w:highlight w:val="none"/>
        </w:rPr>
        <w:drawing>
          <wp:inline distT="0" distB="0" distL="114300" distR="114300">
            <wp:extent cx="5225415" cy="1830705"/>
            <wp:effectExtent l="0" t="0" r="13335" b="1714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tretch>
                      <a:fillRect/>
                    </a:stretch>
                  </pic:blipFill>
                  <pic:spPr>
                    <a:xfrm>
                      <a:off x="0" y="0"/>
                      <a:ext cx="5225415" cy="1830705"/>
                    </a:xfrm>
                    <a:prstGeom prst="rect">
                      <a:avLst/>
                    </a:prstGeom>
                    <a:noFill/>
                    <a:ln>
                      <a:noFill/>
                    </a:ln>
                  </pic:spPr>
                </pic:pic>
              </a:graphicData>
            </a:graphic>
          </wp:inline>
        </w:drawing>
      </w:r>
    </w:p>
    <w:p w14:paraId="1E8E940A">
      <w:pPr>
        <w:pStyle w:val="25"/>
        <w:keepNext w:val="0"/>
        <w:keepLines w:val="0"/>
        <w:pageBreakBefore w:val="0"/>
        <w:kinsoku/>
        <w:wordWrap/>
        <w:overflowPunct/>
        <w:topLinePunct w:val="0"/>
        <w:bidi w:val="0"/>
        <w:snapToGrid/>
        <w:spacing w:line="360" w:lineRule="auto"/>
        <w:ind w:firstLine="420" w:firstLineChars="200"/>
        <w:rPr>
          <w:rFonts w:hint="default"/>
          <w:highlight w:val="none"/>
          <w:lang w:val="en-US" w:eastAsia="zh-CN"/>
        </w:rPr>
      </w:pPr>
      <w:r>
        <w:rPr>
          <w:rFonts w:hint="eastAsia" w:ascii="楷体_GB2312" w:hAnsi="楷体_GB2312" w:eastAsia="楷体_GB2312" w:cs="楷体_GB2312"/>
          <w:b w:val="0"/>
          <w:bCs w:val="0"/>
          <w:kern w:val="2"/>
          <w:sz w:val="21"/>
          <w:szCs w:val="22"/>
          <w:highlight w:val="none"/>
          <w:lang w:val="en-US" w:eastAsia="zh-CN" w:bidi="ar-SA"/>
        </w:rPr>
        <w:t xml:space="preserve">                   北线分区示意图（具体以现场测绘为准）</w:t>
      </w:r>
    </w:p>
    <w:p w14:paraId="6164E4DD">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ascii="宋体" w:hAnsi="Courier New" w:eastAsia="宋体" w:cstheme="minorBidi"/>
          <w:color w:val="auto"/>
          <w:kern w:val="2"/>
          <w:sz w:val="21"/>
          <w:szCs w:val="22"/>
          <w:highlight w:val="none"/>
          <w:lang w:val="en-US" w:eastAsia="zh-CN" w:bidi="ar-SA"/>
        </w:rPr>
        <w:t>2、投标方需为两处地轨机器人长工序区域增加安全辅助防陷入系统，实现人员刷脸签到/签出、视觉人员计数，两者互为双重安全防错。LOTO锁状态检测，防止锁执行不到位。确保区域内人员进出可控、人数清晰、安全隔离有效。人数匹配错误等异常报警的消除，须有可靠的管理确认措施。</w:t>
      </w:r>
    </w:p>
    <w:p w14:paraId="2D8C8B78">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color w:val="auto"/>
          <w:kern w:val="2"/>
          <w:sz w:val="21"/>
          <w:szCs w:val="22"/>
          <w:highlight w:val="yellow"/>
          <w:lang w:val="en-US" w:eastAsia="zh-CN" w:bidi="ar-SA"/>
        </w:rPr>
      </w:pPr>
      <w:r>
        <w:rPr>
          <w:rFonts w:hint="eastAsia" w:ascii="宋体" w:hAnsi="Courier New" w:eastAsia="宋体" w:cstheme="minorBidi"/>
          <w:color w:val="auto"/>
          <w:kern w:val="2"/>
          <w:sz w:val="21"/>
          <w:szCs w:val="22"/>
          <w:highlight w:val="none"/>
          <w:lang w:val="en-US" w:eastAsia="zh-CN" w:bidi="ar-SA"/>
        </w:rPr>
        <w:t>3、投标</w:t>
      </w:r>
      <w:r>
        <w:rPr>
          <w:rFonts w:hint="eastAsia" w:eastAsia="宋体" w:cstheme="minorBidi"/>
          <w:color w:val="auto"/>
          <w:kern w:val="2"/>
          <w:sz w:val="21"/>
          <w:szCs w:val="22"/>
          <w:highlight w:val="none"/>
          <w:lang w:val="en-US" w:eastAsia="zh-CN" w:bidi="ar-SA"/>
        </w:rPr>
        <w:t>方需在自动搬运线的中转台处增加安全光栅，机器人自动取放料时正常运行。若人员进入某分区进行作业时，前后分区的机器人不执行中转台的取放料动作，若光栅触发则机器人停止运行，也可防止人员从中转台处跨区域作业。</w:t>
      </w:r>
    </w:p>
    <w:p w14:paraId="35561135">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4、</w:t>
      </w:r>
      <w:r>
        <w:rPr>
          <w:rFonts w:hint="eastAsia" w:ascii="宋体" w:hAnsi="Courier New" w:eastAsia="宋体" w:cstheme="minorBidi"/>
          <w:color w:val="auto"/>
          <w:kern w:val="2"/>
          <w:sz w:val="21"/>
          <w:szCs w:val="22"/>
          <w:highlight w:val="none"/>
          <w:lang w:val="en-US" w:eastAsia="zh-CN" w:bidi="ar-SA"/>
        </w:rPr>
        <w:t>投标方整改现自动搬运线的急停装置，急停装置应按照GB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16754</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急停功能设计通则</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的要求进行设计、安装，确保急停装置不低于GB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41349</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急停装置技术条件</w:t>
      </w:r>
      <w:r>
        <w:rPr>
          <w:rFonts w:hint="eastAsia" w:eastAsia="宋体" w:cstheme="minorBidi"/>
          <w:color w:val="auto"/>
          <w:kern w:val="2"/>
          <w:sz w:val="21"/>
          <w:szCs w:val="22"/>
          <w:highlight w:val="none"/>
          <w:lang w:val="en-US" w:eastAsia="zh-CN" w:bidi="ar-SA"/>
        </w:rPr>
        <w:t>》的</w:t>
      </w:r>
      <w:r>
        <w:rPr>
          <w:rFonts w:hint="eastAsia" w:ascii="宋体" w:hAnsi="Courier New" w:eastAsia="宋体" w:cstheme="minorBidi"/>
          <w:color w:val="auto"/>
          <w:kern w:val="2"/>
          <w:sz w:val="21"/>
          <w:szCs w:val="22"/>
          <w:highlight w:val="none"/>
          <w:lang w:val="en-US" w:eastAsia="zh-CN" w:bidi="ar-SA"/>
        </w:rPr>
        <w:t>要求。设计两种模式：“停止按钮”实现</w:t>
      </w:r>
      <w:r>
        <w:rPr>
          <w:rFonts w:hint="default" w:ascii="宋体" w:hAnsi="Courier New" w:eastAsia="宋体" w:cstheme="minorBidi"/>
          <w:color w:val="auto"/>
          <w:kern w:val="2"/>
          <w:sz w:val="21"/>
          <w:szCs w:val="22"/>
          <w:highlight w:val="none"/>
          <w:lang w:val="en-US" w:eastAsia="zh-CN" w:bidi="ar-SA"/>
        </w:rPr>
        <w:t>自动</w:t>
      </w:r>
      <w:r>
        <w:rPr>
          <w:rFonts w:hint="eastAsia" w:ascii="宋体" w:hAnsi="Courier New" w:eastAsia="宋体" w:cstheme="minorBidi"/>
          <w:color w:val="auto"/>
          <w:kern w:val="2"/>
          <w:sz w:val="21"/>
          <w:szCs w:val="22"/>
          <w:highlight w:val="none"/>
          <w:lang w:val="en-US" w:eastAsia="zh-CN" w:bidi="ar-SA"/>
        </w:rPr>
        <w:t>搬运</w:t>
      </w:r>
      <w:r>
        <w:rPr>
          <w:rFonts w:hint="default" w:ascii="宋体" w:hAnsi="Courier New" w:eastAsia="宋体" w:cstheme="minorBidi"/>
          <w:color w:val="auto"/>
          <w:kern w:val="2"/>
          <w:sz w:val="21"/>
          <w:szCs w:val="22"/>
          <w:highlight w:val="none"/>
          <w:lang w:val="en-US" w:eastAsia="zh-CN" w:bidi="ar-SA"/>
        </w:rPr>
        <w:t>线</w:t>
      </w:r>
      <w:r>
        <w:rPr>
          <w:rFonts w:hint="eastAsia" w:ascii="宋体" w:hAnsi="Courier New" w:eastAsia="宋体" w:cstheme="minorBidi"/>
          <w:color w:val="auto"/>
          <w:kern w:val="2"/>
          <w:sz w:val="21"/>
          <w:szCs w:val="22"/>
          <w:highlight w:val="none"/>
          <w:lang w:val="en-US" w:eastAsia="zh-CN" w:bidi="ar-SA"/>
        </w:rPr>
        <w:t>运行停止，“急停按钮“</w:t>
      </w:r>
      <w:r>
        <w:rPr>
          <w:rFonts w:hint="default" w:ascii="宋体" w:hAnsi="Courier New" w:eastAsia="宋体" w:cstheme="minorBidi"/>
          <w:color w:val="auto"/>
          <w:kern w:val="2"/>
          <w:sz w:val="21"/>
          <w:szCs w:val="22"/>
          <w:highlight w:val="none"/>
          <w:lang w:val="en-US" w:eastAsia="zh-CN" w:bidi="ar-SA"/>
        </w:rPr>
        <w:t>实现自动</w:t>
      </w:r>
      <w:r>
        <w:rPr>
          <w:rFonts w:hint="eastAsia" w:ascii="宋体" w:hAnsi="Courier New" w:eastAsia="宋体" w:cstheme="minorBidi"/>
          <w:color w:val="auto"/>
          <w:kern w:val="2"/>
          <w:sz w:val="21"/>
          <w:szCs w:val="22"/>
          <w:highlight w:val="none"/>
          <w:lang w:val="en-US" w:eastAsia="zh-CN" w:bidi="ar-SA"/>
        </w:rPr>
        <w:t>搬运</w:t>
      </w:r>
      <w:r>
        <w:rPr>
          <w:rFonts w:hint="default" w:ascii="宋体" w:hAnsi="Courier New" w:eastAsia="宋体" w:cstheme="minorBidi"/>
          <w:color w:val="auto"/>
          <w:kern w:val="2"/>
          <w:sz w:val="21"/>
          <w:szCs w:val="22"/>
          <w:highlight w:val="none"/>
          <w:lang w:val="en-US" w:eastAsia="zh-CN" w:bidi="ar-SA"/>
        </w:rPr>
        <w:t>线</w:t>
      </w:r>
      <w:r>
        <w:rPr>
          <w:rFonts w:hint="eastAsia" w:ascii="宋体" w:hAnsi="Courier New" w:eastAsia="宋体" w:cstheme="minorBidi"/>
          <w:color w:val="auto"/>
          <w:kern w:val="2"/>
          <w:sz w:val="21"/>
          <w:szCs w:val="22"/>
          <w:highlight w:val="none"/>
          <w:lang w:val="en-US" w:eastAsia="zh-CN" w:bidi="ar-SA"/>
        </w:rPr>
        <w:t>控制断电，两种按钮从外观上进行明显区分。</w:t>
      </w:r>
    </w:p>
    <w:p w14:paraId="2703D175">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5、改进自动搬运线与联动机床的交互信号，确保联动机床手动或急停状态时，搬运机器人不会对该机床执行取放料动作。</w:t>
      </w:r>
    </w:p>
    <w:p w14:paraId="11A6E500">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6、</w:t>
      </w:r>
      <w:r>
        <w:rPr>
          <w:rFonts w:hint="eastAsia" w:ascii="宋体" w:hAnsi="Courier New" w:eastAsia="宋体" w:cstheme="minorBidi"/>
          <w:color w:val="auto"/>
          <w:kern w:val="2"/>
          <w:sz w:val="21"/>
          <w:szCs w:val="22"/>
          <w:highlight w:val="none"/>
          <w:lang w:val="en-US" w:eastAsia="zh-CN" w:bidi="ar-SA"/>
        </w:rPr>
        <w:t>补全靠走道侧内层围栏，更新外层围栏及机床刀库区域围栏，</w:t>
      </w:r>
      <w:r>
        <w:rPr>
          <w:rFonts w:hint="eastAsia" w:eastAsia="宋体" w:cstheme="minorBidi"/>
          <w:color w:val="auto"/>
          <w:kern w:val="2"/>
          <w:sz w:val="21"/>
          <w:szCs w:val="22"/>
          <w:highlight w:val="none"/>
          <w:lang w:val="en-US" w:eastAsia="zh-CN" w:bidi="ar-SA"/>
        </w:rPr>
        <w:t>位于内外层护栏之间的</w:t>
      </w:r>
      <w:r>
        <w:rPr>
          <w:rFonts w:hint="eastAsia" w:ascii="宋体" w:hAnsi="Courier New" w:eastAsia="宋体" w:cstheme="minorBidi"/>
          <w:color w:val="auto"/>
          <w:kern w:val="2"/>
          <w:sz w:val="21"/>
          <w:szCs w:val="22"/>
          <w:highlight w:val="none"/>
          <w:lang w:val="en-US" w:eastAsia="zh-CN" w:bidi="ar-SA"/>
        </w:rPr>
        <w:t>除渣区采用授权形式的自动移门，所有围栏应不低于GB</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T</w:t>
      </w:r>
      <w:r>
        <w:rPr>
          <w:rFonts w:hint="eastAsia" w:eastAsia="宋体" w:cstheme="minorBidi"/>
          <w:color w:val="auto"/>
          <w:kern w:val="2"/>
          <w:sz w:val="21"/>
          <w:szCs w:val="22"/>
          <w:highlight w:val="none"/>
          <w:lang w:val="en-US" w:eastAsia="zh-CN" w:bidi="ar-SA"/>
        </w:rPr>
        <w:t xml:space="preserve"> </w:t>
      </w:r>
      <w:r>
        <w:rPr>
          <w:rFonts w:hint="eastAsia" w:ascii="宋体" w:hAnsi="Courier New" w:eastAsia="宋体" w:cstheme="minorBidi"/>
          <w:color w:val="auto"/>
          <w:kern w:val="2"/>
          <w:sz w:val="21"/>
          <w:szCs w:val="22"/>
          <w:highlight w:val="none"/>
          <w:lang w:val="en-US" w:eastAsia="zh-CN" w:bidi="ar-SA"/>
        </w:rPr>
        <w:t>42627</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机械安全围栏防护系统安全要求</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的要求</w:t>
      </w:r>
      <w:r>
        <w:rPr>
          <w:rFonts w:hint="eastAsia" w:eastAsia="宋体" w:cstheme="minorBidi"/>
          <w:color w:val="auto"/>
          <w:kern w:val="2"/>
          <w:sz w:val="21"/>
          <w:szCs w:val="22"/>
          <w:highlight w:val="none"/>
          <w:lang w:val="en-US" w:eastAsia="zh-CN" w:bidi="ar-SA"/>
        </w:rPr>
        <w:t>。</w:t>
      </w:r>
    </w:p>
    <w:p w14:paraId="4BA1FCAA">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7、将现自动化区域内的机床急停引至安全围栏外，便于操作人员应急处理，各急停装置根据设备编号做明确标识，必要时做防误触保护功能。</w:t>
      </w:r>
    </w:p>
    <w:p w14:paraId="0DC5BDAD">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8、</w:t>
      </w:r>
      <w:r>
        <w:rPr>
          <w:rFonts w:hint="eastAsia" w:ascii="宋体" w:hAnsi="Courier New" w:eastAsia="宋体" w:cstheme="minorBidi"/>
          <w:color w:val="auto"/>
          <w:kern w:val="2"/>
          <w:sz w:val="21"/>
          <w:szCs w:val="22"/>
          <w:highlight w:val="none"/>
          <w:lang w:val="en-US" w:eastAsia="zh-CN" w:bidi="ar-SA"/>
        </w:rPr>
        <w:t>整改</w:t>
      </w:r>
      <w:r>
        <w:rPr>
          <w:rFonts w:hint="eastAsia" w:eastAsia="宋体" w:cstheme="minorBidi"/>
          <w:color w:val="auto"/>
          <w:kern w:val="2"/>
          <w:sz w:val="21"/>
          <w:szCs w:val="22"/>
          <w:highlight w:val="none"/>
          <w:lang w:val="en-US" w:eastAsia="zh-CN" w:bidi="ar-SA"/>
        </w:rPr>
        <w:t>自动搬运线的</w:t>
      </w:r>
      <w:r>
        <w:rPr>
          <w:rFonts w:hint="eastAsia" w:ascii="宋体" w:hAnsi="Courier New" w:eastAsia="宋体" w:cstheme="minorBidi"/>
          <w:color w:val="auto"/>
          <w:kern w:val="2"/>
          <w:sz w:val="21"/>
          <w:szCs w:val="22"/>
          <w:highlight w:val="none"/>
          <w:lang w:val="en-US" w:eastAsia="zh-CN" w:bidi="ar-SA"/>
        </w:rPr>
        <w:t>安全回路，增加安全模块</w:t>
      </w:r>
      <w:r>
        <w:rPr>
          <w:rFonts w:hint="eastAsia" w:eastAsia="宋体" w:cstheme="minorBidi"/>
          <w:color w:val="auto"/>
          <w:kern w:val="2"/>
          <w:sz w:val="21"/>
          <w:szCs w:val="22"/>
          <w:highlight w:val="none"/>
          <w:lang w:val="en-US" w:eastAsia="zh-CN" w:bidi="ar-SA"/>
        </w:rPr>
        <w:t>或安全PLC，</w:t>
      </w:r>
      <w:r>
        <w:rPr>
          <w:rFonts w:hint="eastAsia" w:ascii="宋体" w:hAnsi="Courier New" w:eastAsia="宋体" w:cstheme="minorBidi"/>
          <w:color w:val="auto"/>
          <w:kern w:val="2"/>
          <w:sz w:val="21"/>
          <w:szCs w:val="22"/>
          <w:highlight w:val="none"/>
          <w:lang w:val="en-US" w:eastAsia="zh-CN" w:bidi="ar-SA"/>
        </w:rPr>
        <w:t>明确各急停开关、安全门、安全光栅的安全等级</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即急停装置触发后是“控制断电”，安全门、安全光栅触发后是“运行停止”</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安全PLC需对上述各装置进行编号，便于快速查询、排除故障等</w:t>
      </w:r>
      <w:r>
        <w:rPr>
          <w:rFonts w:hint="eastAsia" w:eastAsia="宋体" w:cstheme="minorBidi"/>
          <w:color w:val="auto"/>
          <w:kern w:val="2"/>
          <w:sz w:val="21"/>
          <w:szCs w:val="22"/>
          <w:highlight w:val="none"/>
          <w:lang w:val="en-US" w:eastAsia="zh-CN" w:bidi="ar-SA"/>
        </w:rPr>
        <w:t>，</w:t>
      </w:r>
      <w:r>
        <w:rPr>
          <w:rFonts w:hint="eastAsia" w:ascii="宋体" w:hAnsi="Courier New" w:eastAsia="宋体" w:cstheme="minorBidi"/>
          <w:color w:val="auto"/>
          <w:kern w:val="2"/>
          <w:sz w:val="21"/>
          <w:szCs w:val="22"/>
          <w:highlight w:val="none"/>
          <w:lang w:val="en-US" w:eastAsia="zh-CN" w:bidi="ar-SA"/>
        </w:rPr>
        <w:t>安全装置触发后应生成日志</w:t>
      </w:r>
      <w:r>
        <w:rPr>
          <w:rFonts w:hint="eastAsia" w:eastAsia="宋体" w:cstheme="minorBidi"/>
          <w:color w:val="auto"/>
          <w:kern w:val="2"/>
          <w:sz w:val="21"/>
          <w:szCs w:val="22"/>
          <w:highlight w:val="none"/>
          <w:lang w:val="en-US" w:eastAsia="zh-CN" w:bidi="ar-SA"/>
        </w:rPr>
        <w:t>。</w:t>
      </w:r>
    </w:p>
    <w:p w14:paraId="66E37FB8">
      <w:pPr>
        <w:pStyle w:val="25"/>
        <w:keepNext w:val="0"/>
        <w:keepLines w:val="0"/>
        <w:pageBreakBefore w:val="0"/>
        <w:kinsoku/>
        <w:wordWrap/>
        <w:overflowPunct/>
        <w:topLinePunct w:val="0"/>
        <w:bidi w:val="0"/>
        <w:snapToGrid/>
        <w:spacing w:line="360" w:lineRule="auto"/>
        <w:ind w:firstLine="420" w:firstLineChars="200"/>
        <w:rPr>
          <w:rFonts w:hint="eastAsia" w:ascii="宋体" w:hAnsi="Courier New" w:eastAsia="宋体" w:cstheme="minorBidi"/>
          <w:color w:val="auto"/>
          <w:kern w:val="2"/>
          <w:sz w:val="21"/>
          <w:szCs w:val="22"/>
          <w:highlight w:val="none"/>
          <w:lang w:val="en-US" w:eastAsia="zh-CN" w:bidi="ar-SA"/>
        </w:rPr>
      </w:pPr>
      <w:r>
        <w:rPr>
          <w:rFonts w:hint="eastAsia" w:eastAsia="宋体" w:cstheme="minorBidi"/>
          <w:color w:val="auto"/>
          <w:kern w:val="2"/>
          <w:sz w:val="21"/>
          <w:szCs w:val="22"/>
          <w:highlight w:val="none"/>
          <w:lang w:val="en-US" w:eastAsia="zh-CN" w:bidi="ar-SA"/>
        </w:rPr>
        <w:t>9、</w:t>
      </w:r>
      <w:r>
        <w:rPr>
          <w:rFonts w:hint="eastAsia" w:ascii="宋体" w:hAnsi="Courier New" w:eastAsia="宋体" w:cstheme="minorBidi"/>
          <w:color w:val="auto"/>
          <w:kern w:val="2"/>
          <w:sz w:val="21"/>
          <w:szCs w:val="22"/>
          <w:highlight w:val="none"/>
          <w:lang w:val="en-US" w:eastAsia="zh-CN" w:bidi="ar-SA"/>
        </w:rPr>
        <w:t>卧式加工中心、立式加工中心</w:t>
      </w:r>
      <w:r>
        <w:rPr>
          <w:rFonts w:hint="eastAsia" w:eastAsia="宋体" w:cstheme="minorBidi"/>
          <w:color w:val="auto"/>
          <w:kern w:val="2"/>
          <w:sz w:val="21"/>
          <w:szCs w:val="22"/>
          <w:highlight w:val="none"/>
          <w:lang w:val="en-US" w:eastAsia="zh-CN" w:bidi="ar-SA"/>
        </w:rPr>
        <w:t>、卧式铣床</w:t>
      </w:r>
      <w:r>
        <w:rPr>
          <w:rFonts w:hint="eastAsia" w:ascii="宋体" w:hAnsi="Courier New" w:eastAsia="宋体" w:cstheme="minorBidi"/>
          <w:color w:val="auto"/>
          <w:kern w:val="2"/>
          <w:sz w:val="21"/>
          <w:szCs w:val="22"/>
          <w:highlight w:val="none"/>
          <w:lang w:val="en-US" w:eastAsia="zh-CN" w:bidi="ar-SA"/>
        </w:rPr>
        <w:t>等设备</w:t>
      </w:r>
      <w:r>
        <w:rPr>
          <w:rFonts w:hint="eastAsia" w:eastAsia="宋体" w:cstheme="minorBidi"/>
          <w:color w:val="auto"/>
          <w:kern w:val="2"/>
          <w:sz w:val="21"/>
          <w:szCs w:val="22"/>
          <w:highlight w:val="none"/>
          <w:lang w:val="en-US" w:eastAsia="zh-CN" w:bidi="ar-SA"/>
        </w:rPr>
        <w:t>的检修门增加</w:t>
      </w:r>
      <w:r>
        <w:rPr>
          <w:rFonts w:hint="eastAsia" w:ascii="宋体" w:hAnsi="Courier New" w:eastAsia="宋体" w:cstheme="minorBidi"/>
          <w:color w:val="auto"/>
          <w:kern w:val="2"/>
          <w:sz w:val="21"/>
          <w:szCs w:val="22"/>
          <w:highlight w:val="none"/>
          <w:lang w:val="en-US" w:eastAsia="zh-CN" w:bidi="ar-SA"/>
        </w:rPr>
        <w:t>电气联锁</w:t>
      </w:r>
      <w:r>
        <w:rPr>
          <w:rFonts w:hint="eastAsia" w:eastAsia="宋体" w:cstheme="minorBidi"/>
          <w:color w:val="auto"/>
          <w:kern w:val="2"/>
          <w:sz w:val="21"/>
          <w:szCs w:val="22"/>
          <w:highlight w:val="none"/>
          <w:lang w:val="en-US" w:eastAsia="zh-CN" w:bidi="ar-SA"/>
        </w:rPr>
        <w:t>装置。</w:t>
      </w:r>
    </w:p>
    <w:p w14:paraId="6CD51410">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10、</w:t>
      </w:r>
      <w:r>
        <w:rPr>
          <w:rFonts w:hint="eastAsia" w:ascii="宋体" w:hAnsi="Courier New" w:eastAsia="宋体" w:cstheme="minorBidi"/>
          <w:kern w:val="2"/>
          <w:sz w:val="21"/>
          <w:szCs w:val="22"/>
          <w:highlight w:val="none"/>
          <w:lang w:val="en-US" w:eastAsia="zh-CN" w:bidi="ar-SA"/>
        </w:rPr>
        <w:t>优化现有的自动线PLC控制程序，电气控制回路等，实现上述功能的改进</w:t>
      </w:r>
      <w:r>
        <w:rPr>
          <w:rFonts w:hint="eastAsia" w:eastAsia="宋体" w:cstheme="minorBidi"/>
          <w:kern w:val="2"/>
          <w:sz w:val="21"/>
          <w:szCs w:val="22"/>
          <w:highlight w:val="none"/>
          <w:lang w:val="en-US" w:eastAsia="zh-CN" w:bidi="ar-SA"/>
        </w:rPr>
        <w:t>。</w:t>
      </w:r>
    </w:p>
    <w:p w14:paraId="02E96D90">
      <w:pPr>
        <w:pStyle w:val="25"/>
        <w:keepNext w:val="0"/>
        <w:keepLines w:val="0"/>
        <w:pageBreakBefore w:val="0"/>
        <w:kinsoku/>
        <w:wordWrap/>
        <w:overflowPunct/>
        <w:topLinePunct w:val="0"/>
        <w:bidi w:val="0"/>
        <w:snapToGrid/>
        <w:spacing w:line="360" w:lineRule="auto"/>
        <w:ind w:firstLine="420" w:firstLineChars="200"/>
        <w:rPr>
          <w:rFonts w:hint="eastAsia"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11、</w:t>
      </w:r>
      <w:r>
        <w:rPr>
          <w:rFonts w:hint="eastAsia" w:ascii="宋体" w:hAnsi="Courier New" w:eastAsia="宋体" w:cstheme="minorBidi"/>
          <w:kern w:val="2"/>
          <w:sz w:val="21"/>
          <w:szCs w:val="22"/>
          <w:highlight w:val="none"/>
          <w:lang w:val="en-US" w:eastAsia="zh-CN" w:bidi="ar-SA"/>
        </w:rPr>
        <w:t>生产线安全改造完成后，依据 GB/T 15706-2012《机械安全 风险评估大小与风险减小》及相关机械安全国家标准要求，开展机械安全风险评估工作，并编制形成风险评估报告</w:t>
      </w:r>
      <w:r>
        <w:rPr>
          <w:rFonts w:hint="eastAsia" w:eastAsia="宋体" w:cstheme="minorBidi"/>
          <w:kern w:val="2"/>
          <w:sz w:val="21"/>
          <w:szCs w:val="22"/>
          <w:highlight w:val="none"/>
          <w:lang w:val="en-US" w:eastAsia="zh-CN" w:bidi="ar-SA"/>
        </w:rPr>
        <w:t>。</w:t>
      </w:r>
    </w:p>
    <w:p w14:paraId="7168CEF2">
      <w:pPr>
        <w:pStyle w:val="25"/>
        <w:keepNext w:val="0"/>
        <w:keepLines w:val="0"/>
        <w:pageBreakBefore w:val="0"/>
        <w:kinsoku/>
        <w:wordWrap/>
        <w:overflowPunct/>
        <w:topLinePunct w:val="0"/>
        <w:bidi w:val="0"/>
        <w:snapToGrid/>
        <w:spacing w:line="360" w:lineRule="auto"/>
        <w:ind w:firstLine="420" w:firstLineChars="200"/>
        <w:rPr>
          <w:rFonts w:hint="default"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12、项目改造过程中，如有与招标方现有设备的信号交互、机器人程序调整或增加传感器类等工作，由投标方全权负责（包括提供备件、物料）。</w:t>
      </w:r>
    </w:p>
    <w:p w14:paraId="38FD1083">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13</w:t>
      </w:r>
      <w:r>
        <w:rPr>
          <w:rFonts w:hint="eastAsia" w:ascii="宋体" w:hAnsi="Courier New" w:eastAsia="宋体" w:cstheme="minorBidi"/>
          <w:kern w:val="2"/>
          <w:sz w:val="21"/>
          <w:szCs w:val="22"/>
          <w:highlight w:val="none"/>
          <w:lang w:val="en-US" w:eastAsia="zh-CN" w:bidi="ar-SA"/>
        </w:rPr>
        <w:t>、项目施工完毕后，投标方需提供给招标方纸质</w:t>
      </w:r>
      <w:r>
        <w:rPr>
          <w:rFonts w:hint="eastAsia" w:eastAsia="宋体" w:cstheme="minorBidi"/>
          <w:kern w:val="2"/>
          <w:sz w:val="21"/>
          <w:szCs w:val="22"/>
          <w:highlight w:val="none"/>
          <w:lang w:val="en-US" w:eastAsia="zh-CN" w:bidi="ar-SA"/>
        </w:rPr>
        <w:t>资料（三份）</w:t>
      </w:r>
      <w:r>
        <w:rPr>
          <w:rFonts w:hint="eastAsia" w:ascii="宋体" w:hAnsi="Courier New" w:eastAsia="宋体" w:cstheme="minorBidi"/>
          <w:kern w:val="2"/>
          <w:sz w:val="21"/>
          <w:szCs w:val="22"/>
          <w:highlight w:val="none"/>
          <w:lang w:val="en-US" w:eastAsia="zh-CN" w:bidi="ar-SA"/>
        </w:rPr>
        <w:t>和电子版资料</w:t>
      </w:r>
      <w:r>
        <w:rPr>
          <w:rFonts w:hint="eastAsia" w:eastAsia="宋体" w:cstheme="minorBidi"/>
          <w:kern w:val="2"/>
          <w:sz w:val="21"/>
          <w:szCs w:val="22"/>
          <w:highlight w:val="none"/>
          <w:lang w:val="en-US" w:eastAsia="zh-CN" w:bidi="ar-SA"/>
        </w:rPr>
        <w:t>（一</w:t>
      </w:r>
      <w:r>
        <w:rPr>
          <w:rFonts w:hint="eastAsia" w:ascii="宋体" w:hAnsi="Courier New" w:eastAsia="宋体" w:cstheme="minorBidi"/>
          <w:kern w:val="2"/>
          <w:sz w:val="21"/>
          <w:szCs w:val="22"/>
          <w:highlight w:val="none"/>
          <w:lang w:val="en-US" w:eastAsia="zh-CN" w:bidi="ar-SA"/>
        </w:rPr>
        <w:t>份</w:t>
      </w:r>
      <w:r>
        <w:rPr>
          <w:rFonts w:hint="eastAsia" w:eastAsia="宋体" w:cstheme="minorBidi"/>
          <w:kern w:val="2"/>
          <w:sz w:val="21"/>
          <w:szCs w:val="22"/>
          <w:highlight w:val="none"/>
          <w:lang w:val="en-US" w:eastAsia="zh-CN" w:bidi="ar-SA"/>
        </w:rPr>
        <w:t>）</w:t>
      </w:r>
      <w:r>
        <w:rPr>
          <w:rFonts w:hint="eastAsia" w:ascii="宋体" w:hAnsi="Courier New" w:eastAsia="宋体" w:cstheme="minorBidi"/>
          <w:kern w:val="2"/>
          <w:sz w:val="21"/>
          <w:szCs w:val="22"/>
          <w:highlight w:val="none"/>
          <w:lang w:val="en-US" w:eastAsia="zh-CN" w:bidi="ar-SA"/>
        </w:rPr>
        <w:t>，包括但不限于电气图纸、程序（不加密）、机械图纸、备件清单</w:t>
      </w:r>
      <w:r>
        <w:rPr>
          <w:rFonts w:hint="eastAsia" w:eastAsia="宋体" w:cstheme="minorBidi"/>
          <w:kern w:val="2"/>
          <w:sz w:val="21"/>
          <w:szCs w:val="22"/>
          <w:highlight w:val="none"/>
          <w:lang w:val="en-US" w:eastAsia="zh-CN" w:bidi="ar-SA"/>
        </w:rPr>
        <w:t>（标准件提供型号，非标件提供全尺寸图纸）</w:t>
      </w:r>
      <w:r>
        <w:rPr>
          <w:rFonts w:hint="eastAsia" w:ascii="宋体" w:hAnsi="Courier New" w:eastAsia="宋体" w:cstheme="minorBidi"/>
          <w:kern w:val="2"/>
          <w:sz w:val="21"/>
          <w:szCs w:val="22"/>
          <w:highlight w:val="none"/>
          <w:lang w:val="en-US" w:eastAsia="zh-CN" w:bidi="ar-SA"/>
        </w:rPr>
        <w:t>等</w:t>
      </w:r>
      <w:r>
        <w:rPr>
          <w:rFonts w:hint="eastAsia" w:eastAsia="宋体" w:cstheme="minorBidi"/>
          <w:kern w:val="2"/>
          <w:sz w:val="21"/>
          <w:szCs w:val="22"/>
          <w:highlight w:val="none"/>
          <w:lang w:val="en-US" w:eastAsia="zh-CN" w:bidi="ar-SA"/>
        </w:rPr>
        <w:t>。</w:t>
      </w:r>
    </w:p>
    <w:p w14:paraId="333A9E33">
      <w:pPr>
        <w:pStyle w:val="25"/>
        <w:keepNext w:val="0"/>
        <w:keepLines w:val="0"/>
        <w:pageBreakBefore w:val="0"/>
        <w:kinsoku/>
        <w:wordWrap/>
        <w:overflowPunct/>
        <w:topLinePunct w:val="0"/>
        <w:bidi w:val="0"/>
        <w:snapToGrid/>
        <w:spacing w:line="360" w:lineRule="auto"/>
        <w:ind w:firstLine="420" w:firstLineChars="200"/>
        <w:rPr>
          <w:rFonts w:hint="default" w:ascii="宋体" w:hAnsi="Courier New" w:eastAsia="宋体"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14、</w:t>
      </w:r>
      <w:r>
        <w:rPr>
          <w:rFonts w:hint="default" w:ascii="宋体" w:hAnsi="Courier New" w:eastAsia="宋体" w:cstheme="minorBidi"/>
          <w:kern w:val="2"/>
          <w:sz w:val="21"/>
          <w:szCs w:val="22"/>
          <w:highlight w:val="none"/>
          <w:lang w:val="en-US" w:eastAsia="zh-CN" w:bidi="ar-SA"/>
        </w:rPr>
        <w:t>工期要求：</w:t>
      </w:r>
      <w:r>
        <w:rPr>
          <w:rFonts w:hint="eastAsia" w:eastAsia="宋体" w:cstheme="minorBidi"/>
          <w:kern w:val="2"/>
          <w:sz w:val="21"/>
          <w:szCs w:val="22"/>
          <w:highlight w:val="none"/>
          <w:lang w:val="en-US" w:eastAsia="zh-CN" w:bidi="ar-SA"/>
        </w:rPr>
        <w:t>设计制作、备件采购准备周期约30天，</w:t>
      </w:r>
      <w:r>
        <w:rPr>
          <w:rFonts w:hint="eastAsia" w:ascii="宋体" w:hAnsi="Courier New" w:eastAsia="宋体" w:cstheme="minorBidi"/>
          <w:kern w:val="2"/>
          <w:sz w:val="21"/>
          <w:szCs w:val="22"/>
          <w:highlight w:val="none"/>
          <w:lang w:val="en-US" w:eastAsia="zh-CN" w:bidi="ar-SA"/>
        </w:rPr>
        <w:t>现场</w:t>
      </w:r>
      <w:r>
        <w:rPr>
          <w:rFonts w:hint="eastAsia" w:eastAsia="宋体" w:cstheme="minorBidi"/>
          <w:kern w:val="2"/>
          <w:sz w:val="21"/>
          <w:szCs w:val="22"/>
          <w:highlight w:val="none"/>
          <w:lang w:val="en-US" w:eastAsia="zh-CN" w:bidi="ar-SA"/>
        </w:rPr>
        <w:t>安装</w:t>
      </w:r>
      <w:r>
        <w:rPr>
          <w:rFonts w:hint="eastAsia" w:ascii="宋体" w:hAnsi="Courier New" w:eastAsia="宋体" w:cstheme="minorBidi"/>
          <w:kern w:val="2"/>
          <w:sz w:val="21"/>
          <w:szCs w:val="22"/>
          <w:highlight w:val="none"/>
          <w:lang w:val="en-US" w:eastAsia="zh-CN" w:bidi="ar-SA"/>
        </w:rPr>
        <w:t>施工约</w:t>
      </w:r>
      <w:r>
        <w:rPr>
          <w:rFonts w:hint="eastAsia" w:eastAsia="宋体" w:cstheme="minorBidi"/>
          <w:kern w:val="2"/>
          <w:sz w:val="21"/>
          <w:szCs w:val="22"/>
          <w:highlight w:val="none"/>
          <w:lang w:val="en-US" w:eastAsia="zh-CN" w:bidi="ar-SA"/>
        </w:rPr>
        <w:t>20</w:t>
      </w:r>
      <w:r>
        <w:rPr>
          <w:rFonts w:hint="default" w:ascii="宋体" w:hAnsi="Courier New" w:eastAsia="宋体" w:cstheme="minorBidi"/>
          <w:kern w:val="2"/>
          <w:sz w:val="21"/>
          <w:szCs w:val="22"/>
          <w:highlight w:val="none"/>
          <w:lang w:val="en-US" w:eastAsia="zh-CN" w:bidi="ar-SA"/>
        </w:rPr>
        <w:t>天。</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w:t>
      </w:r>
      <w:r>
        <w:rPr>
          <w:rFonts w:hint="eastAsia" w:hAnsi="宋体" w:eastAsia="宋体" w:cs="Times New Roman"/>
          <w:kern w:val="2"/>
          <w:sz w:val="21"/>
          <w:szCs w:val="21"/>
          <w:lang w:val="en-US" w:eastAsia="zh-CN" w:bidi="ar-SA"/>
        </w:rPr>
        <w:t>智能装备</w:t>
      </w:r>
      <w:r>
        <w:rPr>
          <w:rFonts w:hint="eastAsia" w:ascii="宋体" w:hAnsi="宋体" w:eastAsia="宋体" w:cs="Times New Roman"/>
          <w:kern w:val="2"/>
          <w:sz w:val="21"/>
          <w:szCs w:val="21"/>
          <w:lang w:val="en-US" w:eastAsia="zh-CN" w:bidi="ar-SA"/>
        </w:rPr>
        <w:t>有限公司锻造二部机锻车间MP6300离合器摩擦盘维修项目施工。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5A0568D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承包方按照招标文件、投标文件、技术交流文件等形成并达成一致的技术协议书和合同规定验收。</w:t>
      </w:r>
    </w:p>
    <w:p w14:paraId="604203D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1．验收</w:t>
      </w:r>
    </w:p>
    <w:p w14:paraId="35E4F74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招标方负责协调各方对铸件清理部桥壳机加工（北线）自动化区域安全提升改造项目进行验收。验收由相关各方按照合同要求进行。对验收时不符合验收标准的部分，投标方负责整改，费用投标方自理。</w:t>
      </w:r>
    </w:p>
    <w:p w14:paraId="5832B55F">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2．验收标准</w:t>
      </w:r>
    </w:p>
    <w:p w14:paraId="7FAE0BD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（1）安全围栏、安全门应不低于GB/T 42627-2023《机械安全 围栏防护系统安全要求》的要求。</w:t>
      </w:r>
    </w:p>
    <w:p w14:paraId="3FAFEC5A">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（2）急停装置应不低于GB/T 41349-2022《机械安全 急停装置技术条件》的要求。</w:t>
      </w:r>
    </w:p>
    <w:p w14:paraId="0C32C76C">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（3）安全光栅应不低于GB/T 19436.1-2025《机械安全 电敏保护设备》的要求。</w:t>
      </w:r>
    </w:p>
    <w:p w14:paraId="3D5DBDF1">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（4) 安全打开后，该分区内的自动搬运线设备（机器人）停止运行，其它分区的设备运行不受影响；安全门关闭后，需要操作人员手动进行复位后，方可恢复自动运行。</w:t>
      </w:r>
    </w:p>
    <w:p w14:paraId="55FE510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（5）安全辅助防陷入系统需包含人员刷脸签到/签出、视觉人员计数、防LOTO执行不到位检测等功能。</w:t>
      </w:r>
    </w:p>
    <w:p w14:paraId="6592F431">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（6）中转台光栅需保证：机器人自动取放料时正常运行。若人员进入某分区进行作业时，前后分区的机器人不执行中转台的取放料动作，若光栅触发则机器人停止运行，可防止人员从中转台处跨区域作业。</w:t>
      </w:r>
    </w:p>
    <w:p w14:paraId="26486C3E">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（7）自动搬运线的急停装置触发后是“控制断电”，安全门、安全光栅触发后是“运行停止”；安全PLC需对上述各装置进行编号，便于快速查询、排除故障等；安全装置触发后应生成日志）。</w:t>
      </w:r>
    </w:p>
    <w:p w14:paraId="3AB6B2F8">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（8）除渣区安装授权式自动移门（如刷卡、人脸或钥匙授权），移门动作安全可靠，具备防夹功能。</w:t>
      </w:r>
    </w:p>
    <w:p w14:paraId="03873AAC">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（9）联动机床手动或急停状态时，搬运机器人不会对该机床执行取放料动作。</w:t>
      </w:r>
    </w:p>
    <w:p w14:paraId="38021670">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default"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 xml:space="preserve">（10）项目的所有改造不得影响现有自动化设备、联动机床等设备设施的正常使用，不影响现有的整线生产节拍。 </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（11）验收过程中如有问题乙方应及时整改。</w:t>
      </w:r>
    </w:p>
    <w:p w14:paraId="7F8CEE8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3. 质保期</w:t>
      </w:r>
    </w:p>
    <w:p w14:paraId="3D8FE03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本合同签订之日起，投标方对产品质量负责，自最终验收合格后，质保期</w:t>
      </w:r>
      <w:r>
        <w:rPr>
          <w:rFonts w:hint="eastAsia" w:hAnsi="宋体" w:eastAsia="宋体" w:cs="Times New Roman"/>
          <w:spacing w:val="4"/>
          <w:kern w:val="2"/>
          <w:sz w:val="21"/>
          <w:szCs w:val="21"/>
          <w:highlight w:val="none"/>
          <w:lang w:val="en-US" w:eastAsia="zh-CN" w:bidi="ar-SA"/>
        </w:rPr>
        <w:t>十二个月</w:t>
      </w:r>
      <w:r>
        <w:rPr>
          <w:rFonts w:hint="eastAsia" w:ascii="宋体" w:hAnsi="宋体" w:eastAsia="宋体" w:cs="Times New Roman"/>
          <w:spacing w:val="4"/>
          <w:kern w:val="2"/>
          <w:sz w:val="21"/>
          <w:szCs w:val="21"/>
          <w:highlight w:val="none"/>
          <w:lang w:val="en-US" w:eastAsia="zh-CN" w:bidi="ar-SA"/>
        </w:rPr>
        <w:t>。在质保期内，承包内容出现的任何质量问题，承揽方在接到委托的通知后4小时内到达现场整改，并按要求期限整改完毕，如承揽方4小时内未到现场，将承担相应的责任并酌情扣减保证金，如生产急需，委托方可自行处理，由此产生的一切费用由承揽方承担。 </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0753F1DE">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353881012"/>
      <w:bookmarkStart w:id="16" w:name="_Toc212369550"/>
      <w:bookmarkStart w:id="17" w:name="_Toc25811"/>
      <w:bookmarkStart w:id="18" w:name="_Toc639004"/>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7"/>
                <w:rFonts w:hint="default"/>
                <w:lang w:bidi="ar"/>
              </w:rPr>
              <w:t>月。</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353881017"/>
      <w:bookmarkStart w:id="20" w:name="_Toc639008"/>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cs="宋体"/>
        </w:rPr>
      </w:pPr>
      <w:r>
        <w:rPr>
          <w:rFonts w:hint="eastAsia" w:cs="宋体"/>
          <w:sz w:val="22"/>
          <w:szCs w:val="22"/>
        </w:rPr>
        <w:t>注：该表计价应与附件《开标一览表》中报价相符。</w:t>
      </w:r>
    </w:p>
    <w:tbl>
      <w:tblPr>
        <w:tblStyle w:val="4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6"/>
        <w:gridCol w:w="644"/>
        <w:gridCol w:w="1421"/>
        <w:gridCol w:w="1890"/>
        <w:gridCol w:w="813"/>
        <w:gridCol w:w="782"/>
        <w:gridCol w:w="1303"/>
        <w:gridCol w:w="923"/>
        <w:gridCol w:w="934"/>
      </w:tblGrid>
      <w:tr w14:paraId="2C20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65F4">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项目预算分解表</w:t>
            </w:r>
          </w:p>
        </w:tc>
      </w:tr>
      <w:tr w14:paraId="3C44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FF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3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6F3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7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A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82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规格型号/维修内容</w:t>
            </w:r>
          </w:p>
        </w:tc>
        <w:tc>
          <w:tcPr>
            <w:tcW w:w="4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714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FE0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数量</w:t>
            </w:r>
          </w:p>
        </w:tc>
        <w:tc>
          <w:tcPr>
            <w:tcW w:w="7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B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单价（元），未税</w:t>
            </w: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D91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3A178">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备注</w:t>
            </w:r>
          </w:p>
        </w:tc>
      </w:tr>
      <w:tr w14:paraId="28D4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trPr>
        <w:tc>
          <w:tcPr>
            <w:tcW w:w="310" w:type="pct"/>
            <w:vMerge w:val="restart"/>
            <w:tcBorders>
              <w:top w:val="single" w:color="000000" w:sz="4" w:space="0"/>
              <w:left w:val="single" w:color="000000" w:sz="4" w:space="0"/>
              <w:right w:val="single" w:color="000000" w:sz="4" w:space="0"/>
            </w:tcBorders>
            <w:shd w:val="clear" w:color="auto" w:fill="auto"/>
            <w:noWrap/>
            <w:vAlign w:val="center"/>
          </w:tcPr>
          <w:p w14:paraId="399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34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F23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围栏及钣金（包括安全围栏、刀库围栏、补全围栏和机床防护门等）</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3B2A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安全围栏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8E01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走道侧围栏高度1500mm，2.0mm厚。</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2BF6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5FCD9">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49.6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107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B22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F9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DA5A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45" w:hRule="atLeast"/>
        </w:trPr>
        <w:tc>
          <w:tcPr>
            <w:tcW w:w="310" w:type="pct"/>
            <w:vMerge w:val="continue"/>
            <w:tcBorders>
              <w:left w:val="single" w:color="000000" w:sz="4" w:space="0"/>
              <w:right w:val="single" w:color="000000" w:sz="4" w:space="0"/>
            </w:tcBorders>
            <w:shd w:val="clear" w:color="auto" w:fill="auto"/>
            <w:noWrap/>
            <w:vAlign w:val="center"/>
          </w:tcPr>
          <w:p w14:paraId="1EAB4C3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D2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71FF4">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安全围栏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0E200E">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靠墙侧围栏高度2200mm，2.0mm厚。</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928F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3AF5">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76.7</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F81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1C0D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19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D3EF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310" w:type="pct"/>
            <w:vMerge w:val="continue"/>
            <w:tcBorders>
              <w:left w:val="single" w:color="000000" w:sz="4" w:space="0"/>
              <w:bottom w:val="single" w:color="auto" w:sz="4" w:space="0"/>
              <w:right w:val="single" w:color="000000" w:sz="4" w:space="0"/>
            </w:tcBorders>
            <w:shd w:val="clear" w:color="auto" w:fill="auto"/>
            <w:noWrap/>
            <w:vAlign w:val="center"/>
          </w:tcPr>
          <w:p w14:paraId="60DB549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346"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568AC4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4A3C654F">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内部补全围栏</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C1A5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适配设备部分的非标护栏</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F435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F52E3">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CBF5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AEEE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292D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A634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71F5C5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B8C3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安全控制系统及其控制柜</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3FAA2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CPU</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8FB0D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H PLC2 FS SN SD</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AE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DC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DF7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A0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restart"/>
            <w:tcBorders>
              <w:top w:val="single" w:color="000000" w:sz="4" w:space="0"/>
              <w:left w:val="single" w:color="000000" w:sz="4" w:space="0"/>
              <w:right w:val="single" w:color="000000" w:sz="4" w:space="0"/>
            </w:tcBorders>
            <w:shd w:val="clear" w:color="auto" w:fill="auto"/>
            <w:vAlign w:val="center"/>
          </w:tcPr>
          <w:p w14:paraId="1972DAD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整套的安全PLC，品牌要求：皮尔磁或同等资质的品牌</w:t>
            </w:r>
          </w:p>
        </w:tc>
      </w:tr>
      <w:tr w14:paraId="197C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8FC12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DF0FB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9B343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电源模块（首个）</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F4592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PS</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90D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E773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DCA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7B9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044C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16C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0C1826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E228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3DDFE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944EB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PS-P</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06B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F76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0EE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2A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2634F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1F365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6"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6C38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10E5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0CF13C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4路安全输出</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AEFB71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4DO 0.5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1DE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1B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B0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2F8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0938AE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8C4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79175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8F7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80F8C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4路安全输入</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6ACA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E F 4DI</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287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4F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979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0B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7AAEE3B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01C1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1"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253D1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8BE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928E1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16路普通输出</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54D3B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K S 16DO 0.5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EB8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CE47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597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287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533BB65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E2B5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577AC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229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40E13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电源模块底座（首个）</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24513FC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BS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3FB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FAF0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AEE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406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62AF028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B77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97DCA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24E5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5754A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电源模块底座</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460B4D9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BS-R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0A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F0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5B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0B5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1D6E4D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D53C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6"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77E9C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B50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661C8F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端子</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F7460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A Con 1/10 C (2 件.)</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A08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04B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E57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191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26F049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CBC0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9"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51CF0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3C1B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75D5B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模块底座</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29D58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BP 1/8 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D5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581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3F0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CBD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0E5F5C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0D68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310" w:type="pct"/>
            <w:vMerge w:val="continue"/>
            <w:tcBorders>
              <w:top w:val="single" w:color="auto" w:sz="4" w:space="0"/>
              <w:left w:val="single" w:color="auto" w:sz="4" w:space="0"/>
              <w:right w:val="single" w:color="000000" w:sz="4" w:space="0"/>
            </w:tcBorders>
            <w:shd w:val="clear" w:color="auto" w:fill="auto"/>
            <w:noWrap/>
            <w:vAlign w:val="center"/>
          </w:tcPr>
          <w:p w14:paraId="027B82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right w:val="single" w:color="000000" w:sz="4" w:space="0"/>
            </w:tcBorders>
            <w:shd w:val="clear" w:color="auto" w:fill="auto"/>
            <w:vAlign w:val="center"/>
          </w:tcPr>
          <w:p w14:paraId="699EE5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77AAA91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IO头模块必备端子附件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834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A Con 2/8 C (2 件.)</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C97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398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B3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D01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422660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97C0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trPr>
        <w:tc>
          <w:tcPr>
            <w:tcW w:w="310" w:type="pct"/>
            <w:vMerge w:val="continue"/>
            <w:tcBorders>
              <w:left w:val="single" w:color="auto" w:sz="4" w:space="0"/>
              <w:right w:val="single" w:color="000000" w:sz="4" w:space="0"/>
            </w:tcBorders>
            <w:shd w:val="clear" w:color="auto" w:fill="auto"/>
            <w:noWrap/>
            <w:vAlign w:val="center"/>
          </w:tcPr>
          <w:p w14:paraId="6BB54F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5AF46A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4FB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SD卡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474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SD Memory Card 4GB mit PSSu Halter</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214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CFE5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C72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A88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51C4C12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84DA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2" w:hRule="atLeast"/>
        </w:trPr>
        <w:tc>
          <w:tcPr>
            <w:tcW w:w="310" w:type="pct"/>
            <w:vMerge w:val="continue"/>
            <w:tcBorders>
              <w:left w:val="single" w:color="auto" w:sz="4" w:space="0"/>
              <w:right w:val="single" w:color="000000" w:sz="4" w:space="0"/>
            </w:tcBorders>
            <w:shd w:val="clear" w:color="auto" w:fill="auto"/>
            <w:noWrap/>
            <w:vAlign w:val="center"/>
          </w:tcPr>
          <w:p w14:paraId="4069AC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9D1AD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1EDE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IO头模块</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AFF8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PSSu H FS2 SN SD</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9FA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4B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7D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383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vMerge w:val="continue"/>
            <w:tcBorders>
              <w:left w:val="single" w:color="000000" w:sz="4" w:space="0"/>
              <w:right w:val="single" w:color="000000" w:sz="4" w:space="0"/>
            </w:tcBorders>
            <w:shd w:val="clear" w:color="auto" w:fill="auto"/>
            <w:vAlign w:val="center"/>
          </w:tcPr>
          <w:p w14:paraId="6401DA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1E2A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310" w:type="pct"/>
            <w:vMerge w:val="continue"/>
            <w:tcBorders>
              <w:left w:val="single" w:color="auto" w:sz="4" w:space="0"/>
              <w:right w:val="single" w:color="000000" w:sz="4" w:space="0"/>
            </w:tcBorders>
            <w:shd w:val="clear" w:color="auto" w:fill="auto"/>
            <w:noWrap/>
            <w:vAlign w:val="center"/>
          </w:tcPr>
          <w:p w14:paraId="542533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55118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CF0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820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5SY6-2P-16A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304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BE5A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7DC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174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7037A">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西门子或同等资质品牌</w:t>
            </w:r>
          </w:p>
        </w:tc>
      </w:tr>
      <w:tr w14:paraId="26228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27A770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3CA616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666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开关电源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6F34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XDR-480E-24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51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BC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36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63D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5FBC6">
            <w:pPr>
              <w:keepNext w:val="0"/>
              <w:keepLines w:val="0"/>
              <w:widowControl/>
              <w:suppressLineNumbers w:val="0"/>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明纬或同等资质品牌</w:t>
            </w:r>
          </w:p>
        </w:tc>
      </w:tr>
      <w:tr w14:paraId="11129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1E2B7A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127EA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780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强制导向继电器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54E7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RF3V-3A1B-D24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053B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42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EBC7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728E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CEE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IDEC或同等资质品牌</w:t>
            </w:r>
          </w:p>
        </w:tc>
      </w:tr>
      <w:tr w14:paraId="667B8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6D9F53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39EAD1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FDB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强制导向继电器底座</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AA3E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SF3V-4-L07L-D24</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5C3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D85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5AE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A2D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BF6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IDEC或同等资质品牌</w:t>
            </w:r>
          </w:p>
        </w:tc>
      </w:tr>
      <w:tr w14:paraId="01F4A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310" w:type="pct"/>
            <w:vMerge w:val="continue"/>
            <w:tcBorders>
              <w:left w:val="single" w:color="auto" w:sz="4" w:space="0"/>
              <w:right w:val="single" w:color="000000" w:sz="4" w:space="0"/>
            </w:tcBorders>
            <w:shd w:val="clear" w:color="auto" w:fill="auto"/>
            <w:noWrap/>
            <w:vAlign w:val="center"/>
          </w:tcPr>
          <w:p w14:paraId="1A8C59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5F4176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17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LPB3588钣金固定件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1D8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230x120x10-1.5-BLK</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C9DA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4F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BC3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126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9D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8FE0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9" w:hRule="atLeast"/>
        </w:trPr>
        <w:tc>
          <w:tcPr>
            <w:tcW w:w="310" w:type="pct"/>
            <w:vMerge w:val="continue"/>
            <w:tcBorders>
              <w:left w:val="single" w:color="auto" w:sz="4" w:space="0"/>
              <w:right w:val="single" w:color="000000" w:sz="4" w:space="0"/>
            </w:tcBorders>
            <w:shd w:val="clear" w:color="auto" w:fill="auto"/>
            <w:noWrap/>
            <w:vAlign w:val="center"/>
          </w:tcPr>
          <w:p w14:paraId="31F843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C91B31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EF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总控电气柜（仿位图）</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1BD9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DEC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3F7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F9D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AF6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9E9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D5D7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trPr>
        <w:tc>
          <w:tcPr>
            <w:tcW w:w="310" w:type="pct"/>
            <w:vMerge w:val="continue"/>
            <w:tcBorders>
              <w:left w:val="single" w:color="auto" w:sz="4" w:space="0"/>
              <w:right w:val="single" w:color="000000" w:sz="4" w:space="0"/>
            </w:tcBorders>
            <w:shd w:val="clear" w:color="auto" w:fill="auto"/>
            <w:noWrap/>
            <w:vAlign w:val="center"/>
          </w:tcPr>
          <w:p w14:paraId="678C54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47EDC5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D8E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总控电气柜辅材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C161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02A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E55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EA5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139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5326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438E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310" w:type="pct"/>
            <w:vMerge w:val="continue"/>
            <w:tcBorders>
              <w:left w:val="single" w:color="auto" w:sz="4" w:space="0"/>
              <w:right w:val="single" w:color="000000" w:sz="4" w:space="0"/>
            </w:tcBorders>
            <w:shd w:val="clear" w:color="auto" w:fill="auto"/>
            <w:noWrap/>
            <w:vAlign w:val="center"/>
          </w:tcPr>
          <w:p w14:paraId="2FDD7F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7D2B7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FC8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0D37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NXB-2P-16A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E27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44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A8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E77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AFF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正泰/德力西</w:t>
            </w:r>
          </w:p>
        </w:tc>
      </w:tr>
      <w:tr w14:paraId="0047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310" w:type="pct"/>
            <w:vMerge w:val="continue"/>
            <w:tcBorders>
              <w:left w:val="single" w:color="auto" w:sz="4" w:space="0"/>
              <w:right w:val="single" w:color="000000" w:sz="4" w:space="0"/>
            </w:tcBorders>
            <w:shd w:val="clear" w:color="auto" w:fill="auto"/>
            <w:noWrap/>
            <w:vAlign w:val="center"/>
          </w:tcPr>
          <w:p w14:paraId="14F2756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70D03A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41E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微型断路器</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B726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NXB-2P-3A</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3EA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DB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55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6F4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1B3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正泰/德力西</w:t>
            </w:r>
          </w:p>
        </w:tc>
      </w:tr>
      <w:tr w14:paraId="36E2F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6" w:hRule="atLeast"/>
        </w:trPr>
        <w:tc>
          <w:tcPr>
            <w:tcW w:w="310" w:type="pct"/>
            <w:vMerge w:val="continue"/>
            <w:tcBorders>
              <w:left w:val="single" w:color="auto" w:sz="4" w:space="0"/>
              <w:right w:val="single" w:color="000000" w:sz="4" w:space="0"/>
            </w:tcBorders>
            <w:shd w:val="clear" w:color="auto" w:fill="auto"/>
            <w:noWrap/>
            <w:vAlign w:val="center"/>
          </w:tcPr>
          <w:p w14:paraId="059851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0740CD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50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开关电源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B5B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XDR-240-12</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111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DFC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033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44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73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明纬或同等资质品牌</w:t>
            </w:r>
          </w:p>
        </w:tc>
      </w:tr>
      <w:tr w14:paraId="1FC5BF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310" w:type="pct"/>
            <w:vMerge w:val="continue"/>
            <w:tcBorders>
              <w:left w:val="single" w:color="auto" w:sz="4" w:space="0"/>
              <w:right w:val="single" w:color="000000" w:sz="4" w:space="0"/>
            </w:tcBorders>
            <w:shd w:val="clear" w:color="auto" w:fill="auto"/>
            <w:noWrap/>
            <w:vAlign w:val="center"/>
          </w:tcPr>
          <w:p w14:paraId="147FA9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right w:val="single" w:color="000000" w:sz="4" w:space="0"/>
            </w:tcBorders>
            <w:shd w:val="clear" w:color="auto" w:fill="auto"/>
            <w:vAlign w:val="center"/>
          </w:tcPr>
          <w:p w14:paraId="47D9E8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917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分控电气柜</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0506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943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CC9B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AC1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B78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ED99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693E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left w:val="single" w:color="auto" w:sz="4" w:space="0"/>
              <w:bottom w:val="single" w:color="auto" w:sz="4" w:space="0"/>
              <w:right w:val="single" w:color="000000" w:sz="4" w:space="0"/>
            </w:tcBorders>
            <w:shd w:val="clear" w:color="auto" w:fill="auto"/>
            <w:noWrap/>
            <w:vAlign w:val="center"/>
          </w:tcPr>
          <w:p w14:paraId="4DC3FE7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left w:val="single" w:color="000000" w:sz="4" w:space="0"/>
              <w:bottom w:val="single" w:color="auto" w:sz="4" w:space="0"/>
              <w:right w:val="single" w:color="000000" w:sz="4" w:space="0"/>
            </w:tcBorders>
            <w:shd w:val="clear" w:color="auto" w:fill="auto"/>
            <w:vAlign w:val="center"/>
          </w:tcPr>
          <w:p w14:paraId="6B44E2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64431D2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分控电气柜辅材</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D624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16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FF1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44D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FD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42AD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6599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4B87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C8FDC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柜外电气类（包括安全门开关、安全光栅和急停按钮等）</w:t>
            </w: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686EC3C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安全光栅</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2AD0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P3640P1485P10X1</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19E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823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2254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E84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87F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意普/科力/湾测</w:t>
            </w:r>
          </w:p>
        </w:tc>
      </w:tr>
      <w:tr w14:paraId="6C283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5451F1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2D623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1D8295A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安全光栅线缆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5F27C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PSEN-op-cable-axial-M12-5-pole-5m</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D87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E7C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363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C95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EEA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意普/科力/湾测</w:t>
            </w:r>
          </w:p>
        </w:tc>
      </w:tr>
      <w:tr w14:paraId="7CD98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38142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0D0EC47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91CD4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红色平头按钮</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8D8A2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3SB6130-0AB20-1CA0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02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1EC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FEE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4CE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DE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18EB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0358A4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191EC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14A0C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6A4D7F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3SU1100-1HB20-1PG0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87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B7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1F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705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2AA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46CAF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BD05F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F0B6D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49492E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024F46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3SB6133-0DB50-1BA0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9AC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8ABB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B8A4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E91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16D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B62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2260C7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69C0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7876DC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两孔按钮单元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F6F2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3SB6812-0AA10-0BA0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BDD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E6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5E3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546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594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5E914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54D408B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58C869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049A62E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非接触式磁性安全开关</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6887B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2NO-10mm-5m-SET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B1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D7B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F4B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F65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A44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皮尔磁或同等资质品牌</w:t>
            </w:r>
          </w:p>
        </w:tc>
      </w:tr>
      <w:tr w14:paraId="2A153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55A65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2BC114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auto" w:sz="4" w:space="0"/>
              <w:right w:val="single" w:color="000000" w:sz="4" w:space="0"/>
            </w:tcBorders>
            <w:shd w:val="clear" w:color="auto" w:fill="auto"/>
            <w:vAlign w:val="center"/>
          </w:tcPr>
          <w:p w14:paraId="731A87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接线盒</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38D17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根据现场设计</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D6BD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311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E70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6F3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65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46E2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6DD195C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42B26B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292F793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57E32D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16*0.75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E9B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B95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42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09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CA1E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653A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6556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63717B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auto" w:sz="4" w:space="0"/>
              <w:bottom w:val="single" w:color="auto" w:sz="4" w:space="0"/>
              <w:right w:val="single" w:color="auto" w:sz="4" w:space="0"/>
            </w:tcBorders>
            <w:shd w:val="clear" w:color="auto" w:fill="auto"/>
            <w:vAlign w:val="center"/>
          </w:tcPr>
          <w:p w14:paraId="58F1BBA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auto" w:sz="4" w:space="0"/>
              <w:bottom w:val="single" w:color="000000" w:sz="4" w:space="0"/>
              <w:right w:val="single" w:color="000000" w:sz="4" w:space="0"/>
            </w:tcBorders>
            <w:shd w:val="clear" w:color="auto" w:fill="FFFFFF"/>
            <w:vAlign w:val="center"/>
          </w:tcPr>
          <w:p w14:paraId="7D251A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6*0.75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206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CF6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E418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D9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4C8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1299C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9F0F8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3B0E80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679CD3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线缆</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A222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3*1.5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5BD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0CA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26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1BC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099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22BCD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C300E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6DF0FC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auto" w:sz="4" w:space="0"/>
              <w:left w:val="single" w:color="000000" w:sz="4" w:space="0"/>
              <w:bottom w:val="single" w:color="000000" w:sz="4" w:space="0"/>
              <w:right w:val="single" w:color="000000" w:sz="4" w:space="0"/>
            </w:tcBorders>
            <w:shd w:val="clear" w:color="auto" w:fill="auto"/>
            <w:vAlign w:val="center"/>
          </w:tcPr>
          <w:p w14:paraId="3F7231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网线</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7AA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STP Cat6</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73F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95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600</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07C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8603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3EC2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auto"/>
                <w:kern w:val="0"/>
                <w:sz w:val="20"/>
                <w:szCs w:val="20"/>
                <w:u w:val="none"/>
                <w:lang w:val="en-US" w:eastAsia="zh-CN" w:bidi="ar"/>
              </w:rPr>
              <w:t>起凡/易初</w:t>
            </w:r>
          </w:p>
        </w:tc>
      </w:tr>
      <w:tr w14:paraId="0BF47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96C01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E2CC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除渣电动门及人脸识别系统</w:t>
            </w: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C8207E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齿条机</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E154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ZX-SL600AC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0E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7A6D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3A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107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9D0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24336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618D6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EA7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A4ABC2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齿条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0FD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RCK1000x10.0-EZ</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1CF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637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6</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339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A5C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B00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40696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F6ADC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055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0F51B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人脸识别</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58C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DS-K1T77H-JT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5A0A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2FF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D0E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6F6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0D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海康或同等资质品牌</w:t>
            </w:r>
          </w:p>
        </w:tc>
      </w:tr>
      <w:tr w14:paraId="0DB0F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C46AA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75A9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B0F7AE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内部开门按钮</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40C8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88x40x25</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8B40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E218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C9C5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60D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D57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0528E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DA6F85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5</w:t>
            </w:r>
          </w:p>
        </w:tc>
        <w:tc>
          <w:tcPr>
            <w:tcW w:w="3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F735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智能防陷入系统及EHS智能安全管理平台</w:t>
            </w: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BC5A4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EHS智能安全管理平台</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26845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KKSYS-EHS-Terminal</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FB1B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5DE4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3C3A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5C6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31B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9C01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2ED7F4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7A14AF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3186B1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安全开关</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08E6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me5S-NC-NC.NC-NC</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201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07E7">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462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574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B3B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皮尔磁或同等资质品牌</w:t>
            </w:r>
          </w:p>
        </w:tc>
      </w:tr>
      <w:tr w14:paraId="5B85F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76322F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AACDE8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D619A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安全门栓</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D757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KKCK-MBL-HM0-SET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KKCK-MBL-LM7-SET</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KKCK-MBL-IM0-SET</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8A3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AF112">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4</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2911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3DF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283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14B5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E4F82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A6298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3ED1F8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AFA4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3SU1100-1HB20-1PG0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713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FE84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FD9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DF55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96E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4CDA8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1FBFF8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6E7A18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A426DF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DDD8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3SB6133-0DB50-1BA0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F403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0E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F443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354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229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6145A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61DD6B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105C79F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0F60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DD46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3SB6813-0AA10-0BA0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A363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EF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FCE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A223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BAB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7FE0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81974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418C5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52187F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三孔按钮盒单元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D900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3SB6130-0AB60-1BA0</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135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A87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3</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70B1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950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952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西门子/施耐德</w:t>
            </w:r>
          </w:p>
        </w:tc>
      </w:tr>
      <w:tr w14:paraId="120A7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977A9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F889A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E0E17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防陷入（金刚）摄像头安装钣金</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FF979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KKDR-68x75x37-3.0-YLW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F46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C4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1A8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5B6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9F5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1E09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445ACF1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BEA5F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1510981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边缘计算设备-含防陷入软件（临滴）</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EC40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KKSYS-LD-LPB3588-8+64G-SW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FE38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C70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9FF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4D9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84BA">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大华或同等资质品牌</w:t>
            </w:r>
          </w:p>
        </w:tc>
      </w:tr>
      <w:tr w14:paraId="4F5D9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10C093D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72E5C5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63A05D9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POE半球摄像头</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867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KKSYS-CAM-DH-200W-2.8mm-POE</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B9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48FE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AA6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DA6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0794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AE0A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auto" w:sz="4" w:space="0"/>
              <w:bottom w:val="single" w:color="auto" w:sz="4" w:space="0"/>
              <w:right w:val="single" w:color="000000" w:sz="4" w:space="0"/>
            </w:tcBorders>
            <w:shd w:val="clear" w:color="auto" w:fill="auto"/>
            <w:noWrap/>
            <w:vAlign w:val="center"/>
          </w:tcPr>
          <w:p w14:paraId="323755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7F019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auto" w:sz="4" w:space="0"/>
              <w:bottom w:val="single" w:color="000000" w:sz="4" w:space="0"/>
              <w:right w:val="single" w:color="000000" w:sz="4" w:space="0"/>
            </w:tcBorders>
            <w:shd w:val="clear" w:color="auto" w:fill="auto"/>
            <w:vAlign w:val="center"/>
          </w:tcPr>
          <w:p w14:paraId="494E918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防陷入（金刚）摄像头安装钣金</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F1CD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KKDR-68x75x37-3.0-YLW</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BF31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A6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0493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ECC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8A5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273B9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05F8C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6</w:t>
            </w:r>
          </w:p>
        </w:tc>
        <w:tc>
          <w:tcPr>
            <w:tcW w:w="346"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4669F8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工程人工费用（包括现场测绘、电气设计、编程、安装调试等）</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0233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围栏施工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EAC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EE6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D96B">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B87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8CD0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EF00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B278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1343EB9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2DF0E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A0F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钣金和补充围栏施工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7BF4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4C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3389">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0302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CC3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7B5F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612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737BDE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426885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C10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电气施工</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D8FE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，分阶段进场</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3054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A4F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634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8A5F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476F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FEE2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210AFE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CA329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6988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安全控制程序编制和调试</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C18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，不停机7天，阶段停机4天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E8D9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3D0E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3D0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DEDA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A16B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0C4F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2F2A1F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9F9D1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176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AI训练</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0126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，不停机7天，阶段停机1天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B470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BB0B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753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C07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E5D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6114C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1EE1F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01167E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ED6C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安全控制系统设计</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F607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，场外</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861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71F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824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261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48C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4A140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B36C6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4E73157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969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现场测绘定制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6262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，场内</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3C2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4FA2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7012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472B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7A0B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7EE83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6988072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6BB6C95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F9FC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电柜组装</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B286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r>
              <w:rPr>
                <w:rFonts w:hint="eastAsia" w:asciiTheme="majorEastAsia" w:hAnsiTheme="majorEastAsia" w:eastAsiaTheme="majorEastAsia" w:cstheme="majorEastAsia"/>
                <w:i w:val="0"/>
                <w:iCs w:val="0"/>
                <w:color w:val="000000"/>
                <w:kern w:val="0"/>
                <w:sz w:val="20"/>
                <w:szCs w:val="20"/>
                <w:u w:val="none"/>
                <w:lang w:val="en-US" w:eastAsia="zh-CN" w:bidi="ar"/>
              </w:rPr>
              <w:t>，场外</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F100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B57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51AD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41D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0C6F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5CAA6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4" w:hRule="atLeast"/>
        </w:trPr>
        <w:tc>
          <w:tcPr>
            <w:tcW w:w="310" w:type="pct"/>
            <w:vMerge w:val="restart"/>
            <w:tcBorders>
              <w:top w:val="single" w:color="auto" w:sz="4" w:space="0"/>
              <w:left w:val="single" w:color="000000" w:sz="4" w:space="0"/>
              <w:bottom w:val="single" w:color="auto" w:sz="4" w:space="0"/>
              <w:right w:val="single" w:color="000000" w:sz="4" w:space="0"/>
            </w:tcBorders>
            <w:shd w:val="clear" w:color="auto" w:fill="auto"/>
            <w:noWrap/>
            <w:vAlign w:val="center"/>
          </w:tcPr>
          <w:p w14:paraId="17DB7B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7</w:t>
            </w:r>
          </w:p>
        </w:tc>
        <w:tc>
          <w:tcPr>
            <w:tcW w:w="346"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14:paraId="5CA5FA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设备改造后的风险评估</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8E08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设备改造后的现场风险评估</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B37F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464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AD54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192A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A8A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02" w:type="pct"/>
            <w:vMerge w:val="restart"/>
            <w:tcBorders>
              <w:top w:val="single" w:color="000000" w:sz="4" w:space="0"/>
              <w:left w:val="single" w:color="000000" w:sz="4" w:space="0"/>
              <w:right w:val="single" w:color="000000" w:sz="4" w:space="0"/>
            </w:tcBorders>
            <w:shd w:val="clear" w:color="auto" w:fill="auto"/>
            <w:vAlign w:val="center"/>
          </w:tcPr>
          <w:p w14:paraId="171FD42B">
            <w:pPr>
              <w:keepNext w:val="0"/>
              <w:keepLines w:val="0"/>
              <w:widowControl/>
              <w:suppressLineNumbers w:val="0"/>
              <w:jc w:val="center"/>
              <w:textAlignment w:val="center"/>
              <w:rPr>
                <w:rFonts w:hint="default"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评估专家需具备全国机械安全标准化技术委员会的同等资质</w:t>
            </w:r>
          </w:p>
        </w:tc>
      </w:tr>
      <w:tr w14:paraId="2993A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310" w:type="pct"/>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14:paraId="0C9E5B3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346" w:type="pct"/>
            <w:vMerge w:val="continue"/>
            <w:tcBorders>
              <w:top w:val="single" w:color="auto" w:sz="4" w:space="0"/>
              <w:left w:val="single" w:color="000000" w:sz="4" w:space="0"/>
              <w:bottom w:val="single" w:color="auto" w:sz="4" w:space="0"/>
              <w:right w:val="single" w:color="000000" w:sz="4" w:space="0"/>
            </w:tcBorders>
            <w:shd w:val="clear" w:color="auto" w:fill="auto"/>
            <w:vAlign w:val="center"/>
          </w:tcPr>
          <w:p w14:paraId="1A7BF0C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6C9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设备改造后的风险评估报告编制</w:t>
            </w:r>
          </w:p>
        </w:tc>
        <w:tc>
          <w:tcPr>
            <w:tcW w:w="101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783B9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w:t>
            </w:r>
            <w:r>
              <w:rPr>
                <w:rFonts w:hint="eastAsia" w:asciiTheme="majorEastAsia" w:hAnsiTheme="majorEastAsia" w:eastAsiaTheme="majorEastAsia" w:cstheme="majorEastAsia"/>
                <w:i w:val="0"/>
                <w:iCs w:val="0"/>
                <w:color w:val="FF0000"/>
                <w:kern w:val="0"/>
                <w:sz w:val="20"/>
                <w:szCs w:val="20"/>
                <w:u w:val="none"/>
                <w:lang w:val="en-US" w:eastAsia="zh-CN" w:bidi="ar"/>
              </w:rPr>
              <w:t>X</w:t>
            </w: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天</w:t>
            </w:r>
          </w:p>
        </w:tc>
        <w:tc>
          <w:tcPr>
            <w:tcW w:w="4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D90A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auto"/>
                <w:kern w:val="0"/>
                <w:sz w:val="20"/>
                <w:szCs w:val="20"/>
                <w:highlight w:val="none"/>
                <w:u w:val="none"/>
                <w:lang w:val="en-US" w:eastAsia="zh-CN" w:bidi="ar"/>
              </w:rPr>
              <w:t>人/天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BF3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r>
              <w:rPr>
                <w:rFonts w:hint="eastAsia" w:asciiTheme="majorEastAsia" w:hAnsiTheme="majorEastAsia" w:eastAsiaTheme="majorEastAsia" w:cstheme="majorEastAsia"/>
                <w:i w:val="0"/>
                <w:iCs w:val="0"/>
                <w:color w:val="FF0000"/>
                <w:kern w:val="0"/>
                <w:sz w:val="20"/>
                <w:szCs w:val="20"/>
                <w:u w:val="none"/>
                <w:lang w:val="en-US" w:eastAsia="zh-CN" w:bidi="ar"/>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E599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7E1D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c>
          <w:tcPr>
            <w:tcW w:w="502" w:type="pct"/>
            <w:vMerge w:val="continue"/>
            <w:tcBorders>
              <w:left w:val="single" w:color="000000" w:sz="4" w:space="0"/>
              <w:bottom w:val="single" w:color="000000" w:sz="4" w:space="0"/>
              <w:right w:val="single" w:color="000000" w:sz="4" w:space="0"/>
            </w:tcBorders>
            <w:shd w:val="clear" w:color="auto" w:fill="auto"/>
            <w:vAlign w:val="center"/>
          </w:tcPr>
          <w:p w14:paraId="1EEBAD0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auto"/>
                <w:kern w:val="0"/>
                <w:sz w:val="20"/>
                <w:szCs w:val="20"/>
                <w:highlight w:val="none"/>
                <w:u w:val="none"/>
                <w:lang w:val="en-US" w:eastAsia="zh-CN" w:bidi="ar"/>
              </w:rPr>
            </w:pPr>
          </w:p>
        </w:tc>
      </w:tr>
      <w:tr w14:paraId="4691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310" w:type="pct"/>
            <w:tcBorders>
              <w:top w:val="single" w:color="auto" w:sz="4" w:space="0"/>
              <w:left w:val="single" w:color="000000" w:sz="4" w:space="0"/>
              <w:bottom w:val="single" w:color="auto" w:sz="4" w:space="0"/>
              <w:right w:val="single" w:color="000000" w:sz="4" w:space="0"/>
            </w:tcBorders>
            <w:shd w:val="clear" w:color="auto" w:fill="auto"/>
            <w:noWrap/>
            <w:vAlign w:val="center"/>
          </w:tcPr>
          <w:p w14:paraId="70A8764C">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8</w:t>
            </w:r>
          </w:p>
        </w:tc>
        <w:tc>
          <w:tcPr>
            <w:tcW w:w="4186" w:type="pct"/>
            <w:gridSpan w:val="7"/>
            <w:tcBorders>
              <w:top w:val="single" w:color="auto" w:sz="4" w:space="0"/>
              <w:left w:val="single" w:color="000000" w:sz="4" w:space="0"/>
              <w:bottom w:val="single" w:color="auto" w:sz="4" w:space="0"/>
              <w:right w:val="single" w:color="000000" w:sz="4" w:space="0"/>
            </w:tcBorders>
            <w:shd w:val="clear" w:color="auto" w:fill="auto"/>
            <w:vAlign w:val="center"/>
          </w:tcPr>
          <w:p w14:paraId="4E4CFA8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未税总计：</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DA27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p>
        </w:tc>
      </w:tr>
      <w:tr w14:paraId="390EF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906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9</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CA7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税费</w:t>
            </w:r>
          </w:p>
        </w:tc>
        <w:tc>
          <w:tcPr>
            <w:tcW w:w="307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E422A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  13%</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EC60">
            <w:pPr>
              <w:jc w:val="center"/>
              <w:rPr>
                <w:rFonts w:hint="eastAsia" w:ascii="宋体" w:hAnsi="宋体" w:eastAsia="宋体" w:cs="宋体"/>
                <w:i w:val="0"/>
                <w:iCs w:val="0"/>
                <w:color w:val="000000"/>
                <w:sz w:val="20"/>
                <w:szCs w:val="20"/>
                <w:u w:val="none"/>
              </w:rPr>
            </w:pPr>
          </w:p>
        </w:tc>
      </w:tr>
      <w:tr w14:paraId="4A178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AFE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10</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E4D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总计</w:t>
            </w:r>
          </w:p>
        </w:tc>
        <w:tc>
          <w:tcPr>
            <w:tcW w:w="3075"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B69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合计含税总价（大写）元</w:t>
            </w:r>
          </w:p>
        </w:tc>
        <w:tc>
          <w:tcPr>
            <w:tcW w:w="5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C47F2">
            <w:pPr>
              <w:jc w:val="center"/>
              <w:rPr>
                <w:rFonts w:hint="eastAsia" w:ascii="宋体" w:hAnsi="宋体" w:eastAsia="宋体" w:cs="宋体"/>
                <w:i w:val="0"/>
                <w:iCs w:val="0"/>
                <w:color w:val="000000"/>
                <w:sz w:val="20"/>
                <w:szCs w:val="20"/>
                <w:u w:val="none"/>
              </w:rPr>
            </w:pPr>
          </w:p>
        </w:tc>
      </w:tr>
    </w:tbl>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9"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0"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1"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2"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4"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E93094"/>
    <w:rsid w:val="06F53074"/>
    <w:rsid w:val="0829293A"/>
    <w:rsid w:val="0941188A"/>
    <w:rsid w:val="09756E61"/>
    <w:rsid w:val="0A0B50CF"/>
    <w:rsid w:val="0A420FE1"/>
    <w:rsid w:val="0AD007F3"/>
    <w:rsid w:val="0BEB0202"/>
    <w:rsid w:val="0CFF56DF"/>
    <w:rsid w:val="0D030DE9"/>
    <w:rsid w:val="0D326CC2"/>
    <w:rsid w:val="0DC61A39"/>
    <w:rsid w:val="0DE16433"/>
    <w:rsid w:val="0EA03360"/>
    <w:rsid w:val="0EF10E84"/>
    <w:rsid w:val="0EF40763"/>
    <w:rsid w:val="0F293BB9"/>
    <w:rsid w:val="0F60532F"/>
    <w:rsid w:val="0FCB0D83"/>
    <w:rsid w:val="10BF3855"/>
    <w:rsid w:val="10F17A8A"/>
    <w:rsid w:val="10FE7942"/>
    <w:rsid w:val="11920B94"/>
    <w:rsid w:val="12656B36"/>
    <w:rsid w:val="1378147A"/>
    <w:rsid w:val="13D35827"/>
    <w:rsid w:val="13E524FE"/>
    <w:rsid w:val="147D56F6"/>
    <w:rsid w:val="148B578A"/>
    <w:rsid w:val="14DA122C"/>
    <w:rsid w:val="150430EB"/>
    <w:rsid w:val="156F6E5A"/>
    <w:rsid w:val="15755686"/>
    <w:rsid w:val="168B7CC4"/>
    <w:rsid w:val="170C5908"/>
    <w:rsid w:val="17787D90"/>
    <w:rsid w:val="17D46287"/>
    <w:rsid w:val="181B27A7"/>
    <w:rsid w:val="1868332D"/>
    <w:rsid w:val="193675DD"/>
    <w:rsid w:val="194660D8"/>
    <w:rsid w:val="197D694C"/>
    <w:rsid w:val="197E4D0F"/>
    <w:rsid w:val="1AE479A2"/>
    <w:rsid w:val="1C185B56"/>
    <w:rsid w:val="1DA82577"/>
    <w:rsid w:val="1E1170AC"/>
    <w:rsid w:val="1F291C0C"/>
    <w:rsid w:val="1F5C696D"/>
    <w:rsid w:val="1F962CF2"/>
    <w:rsid w:val="202A21E1"/>
    <w:rsid w:val="218235F1"/>
    <w:rsid w:val="2197576F"/>
    <w:rsid w:val="22A44CDF"/>
    <w:rsid w:val="234A764E"/>
    <w:rsid w:val="252A68FA"/>
    <w:rsid w:val="253009F4"/>
    <w:rsid w:val="25F44B01"/>
    <w:rsid w:val="27155217"/>
    <w:rsid w:val="281108A2"/>
    <w:rsid w:val="297E0FC2"/>
    <w:rsid w:val="29C928E7"/>
    <w:rsid w:val="29CE3EAA"/>
    <w:rsid w:val="2A7C02EC"/>
    <w:rsid w:val="2A8F7CD5"/>
    <w:rsid w:val="2AA72FB4"/>
    <w:rsid w:val="2B3F4DD2"/>
    <w:rsid w:val="2B9654FA"/>
    <w:rsid w:val="2BB37649"/>
    <w:rsid w:val="2C2D426E"/>
    <w:rsid w:val="2E427F0E"/>
    <w:rsid w:val="2E7345D1"/>
    <w:rsid w:val="2FBA0ACE"/>
    <w:rsid w:val="30D140CD"/>
    <w:rsid w:val="317A4765"/>
    <w:rsid w:val="327D0F19"/>
    <w:rsid w:val="32855967"/>
    <w:rsid w:val="32DE7689"/>
    <w:rsid w:val="33BF0D95"/>
    <w:rsid w:val="340842AA"/>
    <w:rsid w:val="353F5A8C"/>
    <w:rsid w:val="36DE1355"/>
    <w:rsid w:val="372A78B2"/>
    <w:rsid w:val="37AF0F6E"/>
    <w:rsid w:val="38107BD1"/>
    <w:rsid w:val="382316B2"/>
    <w:rsid w:val="382611A3"/>
    <w:rsid w:val="38B10E44"/>
    <w:rsid w:val="38F06470"/>
    <w:rsid w:val="391A0E43"/>
    <w:rsid w:val="392D3BCE"/>
    <w:rsid w:val="393D26BB"/>
    <w:rsid w:val="396B689B"/>
    <w:rsid w:val="3A39340F"/>
    <w:rsid w:val="3A5B7C10"/>
    <w:rsid w:val="3C3170AD"/>
    <w:rsid w:val="3CBC0F5F"/>
    <w:rsid w:val="3D9C2881"/>
    <w:rsid w:val="3DF1437C"/>
    <w:rsid w:val="3E09134A"/>
    <w:rsid w:val="3E6D045A"/>
    <w:rsid w:val="3F1B08B7"/>
    <w:rsid w:val="3F801B0E"/>
    <w:rsid w:val="40124630"/>
    <w:rsid w:val="40B3559D"/>
    <w:rsid w:val="413C1020"/>
    <w:rsid w:val="41A55A6F"/>
    <w:rsid w:val="429D2840"/>
    <w:rsid w:val="432A5FEB"/>
    <w:rsid w:val="440640BA"/>
    <w:rsid w:val="457C68A6"/>
    <w:rsid w:val="45B527CD"/>
    <w:rsid w:val="45EF2E88"/>
    <w:rsid w:val="462A00B0"/>
    <w:rsid w:val="46D92B01"/>
    <w:rsid w:val="470B7BE0"/>
    <w:rsid w:val="47AB2561"/>
    <w:rsid w:val="483C3E0E"/>
    <w:rsid w:val="48A82A9E"/>
    <w:rsid w:val="49CA6C15"/>
    <w:rsid w:val="4A082E0A"/>
    <w:rsid w:val="4AC268B8"/>
    <w:rsid w:val="4C1B4B58"/>
    <w:rsid w:val="4C213966"/>
    <w:rsid w:val="4CC51E60"/>
    <w:rsid w:val="4CD949FD"/>
    <w:rsid w:val="4CF00C43"/>
    <w:rsid w:val="4D12216B"/>
    <w:rsid w:val="4D184BBB"/>
    <w:rsid w:val="4D7560E1"/>
    <w:rsid w:val="4E745A99"/>
    <w:rsid w:val="4E857B1A"/>
    <w:rsid w:val="4EB1136E"/>
    <w:rsid w:val="4F4A4FC8"/>
    <w:rsid w:val="4FBE172A"/>
    <w:rsid w:val="4FD97D99"/>
    <w:rsid w:val="50D74B46"/>
    <w:rsid w:val="514A6590"/>
    <w:rsid w:val="51654692"/>
    <w:rsid w:val="52585C54"/>
    <w:rsid w:val="53537C0A"/>
    <w:rsid w:val="543D56F2"/>
    <w:rsid w:val="54605E09"/>
    <w:rsid w:val="54D175A6"/>
    <w:rsid w:val="54D67D81"/>
    <w:rsid w:val="54D7260C"/>
    <w:rsid w:val="558625F5"/>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F14763"/>
    <w:rsid w:val="650A5824"/>
    <w:rsid w:val="662E111E"/>
    <w:rsid w:val="673F2C72"/>
    <w:rsid w:val="67BB236C"/>
    <w:rsid w:val="68790CF7"/>
    <w:rsid w:val="68C06BDA"/>
    <w:rsid w:val="68CA4FBC"/>
    <w:rsid w:val="69534793"/>
    <w:rsid w:val="69882513"/>
    <w:rsid w:val="69F8009E"/>
    <w:rsid w:val="6A2820A4"/>
    <w:rsid w:val="6AB76068"/>
    <w:rsid w:val="6C147172"/>
    <w:rsid w:val="6C9132F0"/>
    <w:rsid w:val="6CFC62F4"/>
    <w:rsid w:val="6D5B701C"/>
    <w:rsid w:val="6F123E57"/>
    <w:rsid w:val="705269F2"/>
    <w:rsid w:val="70E22B1F"/>
    <w:rsid w:val="716167CC"/>
    <w:rsid w:val="71B9546B"/>
    <w:rsid w:val="72167457"/>
    <w:rsid w:val="72312813"/>
    <w:rsid w:val="73502CC9"/>
    <w:rsid w:val="736A2597"/>
    <w:rsid w:val="73E74B0A"/>
    <w:rsid w:val="74393501"/>
    <w:rsid w:val="74461B27"/>
    <w:rsid w:val="74995770"/>
    <w:rsid w:val="75CD3E17"/>
    <w:rsid w:val="76323600"/>
    <w:rsid w:val="76683156"/>
    <w:rsid w:val="7704653F"/>
    <w:rsid w:val="78576904"/>
    <w:rsid w:val="79B6534F"/>
    <w:rsid w:val="7A8F4EBB"/>
    <w:rsid w:val="7B280A87"/>
    <w:rsid w:val="7B29035B"/>
    <w:rsid w:val="7B4E6013"/>
    <w:rsid w:val="7B802C44"/>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46</Pages>
  <Words>12051</Words>
  <Characters>12488</Characters>
  <Lines>52</Lines>
  <Paragraphs>14</Paragraphs>
  <TotalTime>50</TotalTime>
  <ScaleCrop>false</ScaleCrop>
  <LinksUpToDate>false</LinksUpToDate>
  <CharactersWithSpaces>12862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2026-06-25T07:33:14Z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