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1"/>
      <w:bookmarkStart w:id="1" w:name="OLE_LINK30"/>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AD36EB1">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高压油泵PTO总成自制项目</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6678CE06">
      <w:pPr>
        <w:jc w:val="both"/>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FBE9B4C">
      <w:pPr>
        <w:spacing w:line="860" w:lineRule="exact"/>
        <w:rPr>
          <w:rFonts w:hint="eastAsia" w:ascii="华文仿宋" w:hAnsi="华文仿宋" w:eastAsia="华文仿宋"/>
          <w:sz w:val="32"/>
          <w:szCs w:val="28"/>
        </w:rPr>
      </w:pP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7C652238">
      <w:pPr>
        <w:pStyle w:val="17"/>
        <w:rPr>
          <w:b/>
          <w:bCs/>
        </w:rPr>
      </w:pPr>
    </w:p>
    <w:p w14:paraId="58AD31A7">
      <w:pPr>
        <w:pStyle w:val="17"/>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07D86FDD">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4558D34E">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7"/>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高压油泵PTO总成自制项目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 xml:space="preserve">              </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高压油泵PTO总成分装线</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lang w:val="en-US" w:eastAsia="zh-CN"/>
              </w:rPr>
              <w:t>公开</w:t>
            </w:r>
            <w:r>
              <w:rPr>
                <w:rFonts w:hint="eastAsia" w:ascii="宋体" w:hAnsi="宋体" w:eastAsia="宋体" w:cs="宋体"/>
                <w:sz w:val="24"/>
                <w:szCs w:val="24"/>
                <w:highlight w:val="yellow"/>
                <w:lang w:eastAsia="zh-CN"/>
              </w:rPr>
              <w:t>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 xml:space="preserve">济南市章丘区世纪大道7777号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sz w:val="24"/>
                <w:szCs w:val="24"/>
                <w:highlight w:val="yellow"/>
                <w:u w:val="single"/>
                <w:lang w:val="en-US" w:eastAsia="zh-CN"/>
              </w:rPr>
              <w:t xml:space="preserve">  杨洪奎 </w:t>
            </w:r>
          </w:p>
          <w:p w14:paraId="33F22673">
            <w:pPr>
              <w:pStyle w:val="17"/>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sz w:val="24"/>
                <w:szCs w:val="24"/>
                <w:highlight w:val="yellow"/>
                <w:u w:val="single"/>
                <w:lang w:val="en-US" w:eastAsia="zh-CN"/>
              </w:rPr>
              <w:t xml:space="preserve"> </w:t>
            </w:r>
            <w:r>
              <w:rPr>
                <w:rFonts w:hint="eastAsia" w:hAnsi="宋体" w:eastAsia="宋体" w:cs="宋体"/>
                <w:sz w:val="24"/>
                <w:szCs w:val="24"/>
                <w:highlight w:val="yellow"/>
                <w:u w:val="single"/>
                <w:lang w:val="en-US" w:eastAsia="zh-CN"/>
              </w:rPr>
              <w:t>18354188870</w:t>
            </w:r>
            <w:r>
              <w:rPr>
                <w:rFonts w:hint="eastAsia" w:ascii="宋体" w:hAnsi="宋体" w:eastAsia="宋体" w:cs="宋体"/>
                <w:sz w:val="24"/>
                <w:szCs w:val="24"/>
                <w:highlight w:val="yellow"/>
                <w:u w:val="single"/>
                <w:lang w:val="en-US" w:eastAsia="zh-CN"/>
              </w:rPr>
              <w:t xml:space="preserve"> </w:t>
            </w:r>
          </w:p>
          <w:p w14:paraId="39B001FF">
            <w:pPr>
              <w:ind w:firstLine="482" w:firstLineChars="200"/>
              <w:rPr>
                <w:rFonts w:hint="eastAsia" w:ascii="宋体" w:hAnsi="宋体" w:eastAsia="宋体" w:cs="宋体"/>
                <w:sz w:val="24"/>
                <w:szCs w:val="24"/>
                <w:highlight w:val="yellow"/>
                <w:u w:val="singl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sz w:val="24"/>
                <w:szCs w:val="24"/>
                <w:highlight w:val="yellow"/>
                <w:u w:val="single"/>
                <w:lang w:val="en-US" w:eastAsia="zh-CN"/>
              </w:rPr>
              <w:t xml:space="preserve">  yanghongkui@sinotruk.com </w:t>
            </w:r>
          </w:p>
          <w:p w14:paraId="63A5BEA0">
            <w:pPr>
              <w:pStyle w:val="24"/>
              <w:spacing w:line="240" w:lineRule="auto"/>
              <w:ind w:firstLine="481"/>
              <w:rPr>
                <w:rFonts w:hint="default" w:cs="宋体"/>
                <w:color w:val="auto"/>
                <w:sz w:val="24"/>
                <w:szCs w:val="24"/>
                <w:highlight w:val="none"/>
                <w:u w:val="single"/>
                <w:lang w:val="en-US" w:eastAsia="zh-CN"/>
              </w:rPr>
            </w:pPr>
            <w:r>
              <w:rPr>
                <w:rFonts w:hint="eastAsia" w:cs="宋体"/>
                <w:color w:val="auto"/>
                <w:sz w:val="24"/>
                <w:szCs w:val="24"/>
                <w:highlight w:val="none"/>
                <w:u w:val="none"/>
                <w:lang w:val="en-US" w:eastAsia="zh-CN"/>
              </w:rPr>
              <w:t>技术联系人：</w:t>
            </w:r>
            <w:r>
              <w:rPr>
                <w:rFonts w:hint="eastAsia" w:cs="宋体"/>
                <w:color w:val="auto"/>
                <w:sz w:val="24"/>
                <w:szCs w:val="24"/>
                <w:highlight w:val="none"/>
                <w:u w:val="single"/>
                <w:lang w:val="en-US" w:eastAsia="zh-CN"/>
              </w:rPr>
              <w:t xml:space="preserve"> </w:t>
            </w:r>
            <w:r>
              <w:rPr>
                <w:rFonts w:hint="eastAsia" w:cs="宋体"/>
                <w:b w:val="0"/>
                <w:bCs/>
                <w:color w:val="auto"/>
                <w:sz w:val="24"/>
                <w:szCs w:val="24"/>
                <w:highlight w:val="none"/>
                <w:u w:val="single"/>
                <w:lang w:val="en-US" w:eastAsia="zh-CN"/>
              </w:rPr>
              <w:t xml:space="preserve">荣铭宇 </w:t>
            </w:r>
          </w:p>
          <w:p w14:paraId="41011BC3">
            <w:pPr>
              <w:pStyle w:val="17"/>
              <w:spacing w:line="240" w:lineRule="auto"/>
              <w:ind w:firstLine="482" w:firstLineChars="200"/>
              <w:rPr>
                <w:rFonts w:hint="default"/>
                <w:color w:val="auto"/>
                <w:highlight w:val="none"/>
                <w:lang w:val="en-US" w:eastAsia="zh-CN"/>
              </w:rPr>
            </w:pPr>
            <w:r>
              <w:rPr>
                <w:rFonts w:hint="eastAsia" w:ascii="宋体" w:hAnsi="宋体" w:eastAsia="宋体" w:cs="宋体"/>
                <w:b/>
                <w:snapToGrid w:val="0"/>
                <w:color w:val="auto"/>
                <w:kern w:val="0"/>
                <w:sz w:val="24"/>
                <w:szCs w:val="24"/>
                <w:highlight w:val="none"/>
              </w:rPr>
              <w:t>电话：</w:t>
            </w:r>
            <w:r>
              <w:rPr>
                <w:rFonts w:hint="eastAsia" w:ascii="宋体" w:hAnsi="宋体" w:eastAsia="宋体" w:cs="宋体"/>
                <w:color w:val="auto"/>
                <w:sz w:val="24"/>
                <w:szCs w:val="24"/>
                <w:highlight w:val="none"/>
                <w:u w:val="single"/>
                <w:lang w:val="en-US" w:eastAsia="zh-CN"/>
              </w:rPr>
              <w:t xml:space="preserve"> 19953181741 </w:t>
            </w:r>
          </w:p>
          <w:p w14:paraId="6B6ECCB7">
            <w:pPr>
              <w:spacing w:line="240" w:lineRule="auto"/>
              <w:ind w:firstLine="481"/>
              <w:rPr>
                <w:rFonts w:hint="default"/>
                <w:lang w:val="en-US" w:eastAsia="zh-CN"/>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rPr>
              <w:t>：</w:t>
            </w:r>
            <w:r>
              <w:rPr>
                <w:rFonts w:hint="eastAsia" w:ascii="宋体" w:hAnsi="宋体" w:eastAsia="宋体" w:cs="宋体"/>
                <w:color w:val="auto"/>
                <w:sz w:val="24"/>
                <w:szCs w:val="24"/>
                <w:highlight w:val="none"/>
                <w:u w:val="single"/>
                <w:lang w:val="en-US" w:eastAsia="zh-CN"/>
              </w:rPr>
              <w:t xml:space="preserve"> rongmingyu@sinotruk.com </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760BA53">
            <w:pPr>
              <w:ind w:firstLine="482" w:firstLineChars="200"/>
              <w:rPr>
                <w:rFonts w:hint="eastAsia" w:eastAsia="宋体"/>
                <w:lang w:val="en-US"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198E7633">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0万</w:t>
            </w:r>
            <w:r>
              <w:rPr>
                <w:rFonts w:hint="eastAsia" w:ascii="宋体" w:hAnsi="宋体" w:eastAsia="宋体" w:cs="宋体"/>
                <w:color w:val="000000"/>
                <w:sz w:val="24"/>
                <w:szCs w:val="24"/>
              </w:rPr>
              <w:t>人民币（或等值其他货币）；公司成立三年以上（以营业执照成立日期到开标当日满三年为准），且经营范围满足招标人需求；并在人员、设备、资金等方面具有承担本项目的能力；</w:t>
            </w:r>
          </w:p>
          <w:p w14:paraId="6EFEDD91">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14:paraId="2FC565C9">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w:t>
            </w:r>
            <w:r>
              <w:rPr>
                <w:rFonts w:hint="eastAsia" w:hAnsi="宋体" w:eastAsia="宋体" w:cs="宋体"/>
                <w:color w:val="000000"/>
                <w:sz w:val="24"/>
                <w:szCs w:val="24"/>
                <w:lang w:val="en-US" w:eastAsia="zh-CN"/>
              </w:rPr>
              <w:t>文件</w:t>
            </w:r>
            <w:r>
              <w:rPr>
                <w:rFonts w:hint="eastAsia" w:ascii="宋体" w:hAnsi="宋体" w:eastAsia="宋体" w:cs="宋体"/>
                <w:color w:val="000000"/>
                <w:sz w:val="24"/>
                <w:szCs w:val="24"/>
              </w:rPr>
              <w:t>；</w:t>
            </w:r>
          </w:p>
          <w:p w14:paraId="6E4F2A8F">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14:paraId="34BD16B0">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8C5CEC8">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3BF95B8E">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w:t>
            </w:r>
            <w:r>
              <w:rPr>
                <w:rFonts w:hint="eastAsia" w:hAnsi="宋体" w:eastAsia="宋体" w:cs="宋体"/>
                <w:color w:val="000000"/>
                <w:sz w:val="24"/>
                <w:szCs w:val="24"/>
                <w:lang w:val="en-US" w:eastAsia="zh-CN"/>
              </w:rPr>
              <w:t>近三年</w:t>
            </w:r>
            <w:r>
              <w:rPr>
                <w:rFonts w:hint="eastAsia" w:ascii="宋体" w:hAnsi="宋体" w:eastAsia="宋体" w:cs="宋体"/>
                <w:color w:val="000000"/>
                <w:sz w:val="24"/>
                <w:szCs w:val="24"/>
              </w:rPr>
              <w:t>有与本次招标内容相同或类似项目业绩</w:t>
            </w:r>
            <w:r>
              <w:rPr>
                <w:rFonts w:hint="eastAsia" w:hAnsi="宋体" w:eastAsia="宋体" w:cs="宋体"/>
                <w:color w:val="000000"/>
                <w:sz w:val="24"/>
                <w:szCs w:val="24"/>
                <w:highlight w:val="none"/>
                <w:lang w:val="en-US" w:eastAsia="zh-CN"/>
              </w:rPr>
              <w:t>（需出示合同）</w:t>
            </w:r>
            <w:r>
              <w:rPr>
                <w:rFonts w:hint="eastAsia" w:ascii="宋体" w:hAnsi="宋体" w:eastAsia="宋体" w:cs="宋体"/>
                <w:color w:val="000000"/>
                <w:sz w:val="24"/>
                <w:szCs w:val="24"/>
              </w:rPr>
              <w:t>，近三年内无因服务不当而造成重大事故；</w:t>
            </w:r>
          </w:p>
          <w:p w14:paraId="49D34615">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14:paraId="1FD28AE8">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14:paraId="0E0FD572">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14:paraId="3F83F024">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11.拟投标人信用证明材料（征信报告）未显示异常；</w:t>
            </w:r>
          </w:p>
          <w:p w14:paraId="6D1D50F9">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14:paraId="05288142">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w:t>
            </w:r>
            <w:r>
              <w:rPr>
                <w:rFonts w:hint="eastAsia" w:hAnsi="宋体" w:eastAsia="宋体" w:cs="宋体"/>
                <w:color w:val="000000"/>
                <w:sz w:val="24"/>
                <w:szCs w:val="24"/>
                <w:lang w:val="en-US" w:eastAsia="zh-CN"/>
              </w:rPr>
              <w:t>本项目不接受代理商投标</w:t>
            </w:r>
            <w:r>
              <w:rPr>
                <w:rFonts w:hint="eastAsia" w:ascii="宋体" w:hAnsi="宋体" w:eastAsia="宋体" w:cs="宋体"/>
                <w:color w:val="000000"/>
                <w:sz w:val="24"/>
                <w:szCs w:val="24"/>
              </w:rPr>
              <w:t>；</w:t>
            </w:r>
          </w:p>
          <w:p w14:paraId="0263D36D">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09440A4A">
            <w:pPr>
              <w:pStyle w:val="17"/>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15.与招标人存在利害关系可能影响招标公正性的法人、其他组织或者个人，不得参加投标。</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6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15  </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6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29  </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6  </w:t>
            </w:r>
            <w:r>
              <w:rPr>
                <w:rFonts w:hint="eastAsia" w:ascii="宋体" w:hAnsi="宋体" w:eastAsia="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29  </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2</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w:t>
            </w:r>
            <w:r>
              <w:rPr>
                <w:rFonts w:hint="eastAsia" w:eastAsia="宋体" w:cs="宋体"/>
                <w:highlight w:val="yellow"/>
                <w:lang w:val="en-US" w:eastAsia="zh-CN"/>
              </w:rPr>
              <w:t>6</w:t>
            </w:r>
            <w:r>
              <w:rPr>
                <w:rFonts w:hint="eastAsia" w:eastAsia="宋体" w:cs="宋体"/>
                <w:highlight w:val="yellow"/>
                <w:lang w:eastAsia="zh-CN"/>
              </w:rPr>
              <w:t>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6</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29</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17时00分00秒</w:t>
            </w:r>
          </w:p>
          <w:p w14:paraId="5653EF60">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w:t>
            </w:r>
            <w:r>
              <w:rPr>
                <w:rFonts w:hint="eastAsia" w:eastAsia="宋体" w:cs="宋体"/>
                <w:b/>
                <w:bCs/>
                <w:highlight w:val="yellow"/>
                <w:lang w:val="en-US" w:eastAsia="zh-CN"/>
              </w:rPr>
              <w:t>E采通系统中近三年财务数据信息更新</w:t>
            </w:r>
            <w:r>
              <w:rPr>
                <w:rFonts w:hint="eastAsia" w:eastAsia="宋体" w:cs="宋体"/>
                <w:b/>
                <w:bCs/>
                <w:highlight w:val="none"/>
                <w:lang w:val="en-US" w:eastAsia="zh-CN"/>
              </w:rPr>
              <w:t>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7"/>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济南市章丘区世纪大道7777号</w:t>
            </w:r>
          </w:p>
          <w:p w14:paraId="1FED2B34">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荣铭宇</w:t>
            </w:r>
            <w:r>
              <w:rPr>
                <w:rFonts w:hint="eastAsia" w:ascii="宋体" w:hAnsi="宋体" w:eastAsia="宋体" w:cs="宋体"/>
                <w:bCs/>
                <w:sz w:val="24"/>
                <w:szCs w:val="24"/>
                <w:highlight w:val="yellow"/>
                <w:u w:val="single"/>
                <w:lang w:val="en-US" w:eastAsia="zh-CN"/>
              </w:rPr>
              <w:t xml:space="preserve">  </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19953181741</w:t>
            </w:r>
            <w:r>
              <w:rPr>
                <w:rFonts w:hint="eastAsia" w:ascii="宋体" w:hAnsi="宋体" w:eastAsia="宋体" w:cs="宋体"/>
                <w:bCs/>
                <w:sz w:val="24"/>
                <w:szCs w:val="24"/>
                <w:highlight w:val="yellow"/>
                <w:u w:val="single"/>
                <w:lang w:val="en-US" w:eastAsia="zh-CN"/>
              </w:rPr>
              <w:t xml:space="preserve">           </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u w:val="single"/>
                <w:lang w:eastAsia="zh-CN"/>
              </w:rPr>
              <w:t>年</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sz w:val="24"/>
                <w:szCs w:val="24"/>
                <w:highlight w:val="yellow"/>
                <w:u w:val="single"/>
                <w:lang w:eastAsia="zh-CN"/>
              </w:rPr>
              <w:t>月</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30</w:t>
            </w:r>
            <w:r>
              <w:rPr>
                <w:rFonts w:hint="eastAsia" w:ascii="宋体" w:hAnsi="宋体" w:eastAsia="宋体" w:cs="宋体"/>
                <w:bCs/>
                <w:sz w:val="24"/>
                <w:szCs w:val="24"/>
                <w:highlight w:val="yellow"/>
                <w:u w:val="single"/>
                <w:lang w:val="en-US" w:eastAsia="zh-CN"/>
              </w:rPr>
              <w:t xml:space="preserve"> </w:t>
            </w:r>
            <w:r>
              <w:rPr>
                <w:rFonts w:hint="eastAsia" w:ascii="宋体" w:hAnsi="宋体" w:eastAsia="宋体" w:cs="宋体"/>
                <w:sz w:val="24"/>
                <w:szCs w:val="24"/>
                <w:highlight w:val="yellow"/>
              </w:rPr>
              <w:t>日</w:t>
            </w:r>
            <w:r>
              <w:rPr>
                <w:rFonts w:hint="eastAsia" w:hAnsi="宋体" w:eastAsia="宋体" w:cs="宋体"/>
                <w:sz w:val="24"/>
                <w:szCs w:val="24"/>
                <w:highlight w:val="yellow"/>
                <w:lang w:val="en-US" w:eastAsia="zh-CN"/>
              </w:rPr>
              <w:t>12</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bookmarkStart w:id="171" w:name="_GoBack"/>
            <w:bookmarkEnd w:id="171"/>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200C6763">
            <w:pPr>
              <w:ind w:left="479" w:leftChars="228" w:firstLine="0" w:firstLineChars="0"/>
              <w:rPr>
                <w:rFonts w:ascii="宋体" w:hAnsi="宋体" w:eastAsia="宋体" w:cs="宋体"/>
                <w:sz w:val="24"/>
                <w:szCs w:val="24"/>
              </w:rPr>
            </w:pPr>
            <w:r>
              <w:rPr>
                <w:rFonts w:ascii="宋体" w:hAnsi="宋体" w:eastAsia="宋体" w:cs="宋体"/>
                <w:sz w:val="24"/>
                <w:szCs w:val="24"/>
              </w:rPr>
              <w:t>开户名称：中国重汽集团济南动力有限公司发动机厂</w:t>
            </w:r>
            <w:r>
              <w:rPr>
                <w:rFonts w:ascii="宋体" w:hAnsi="宋体" w:eastAsia="宋体" w:cs="宋体"/>
                <w:sz w:val="24"/>
                <w:szCs w:val="24"/>
              </w:rPr>
              <w:br w:type="textWrapping"/>
            </w:r>
            <w:r>
              <w:rPr>
                <w:rFonts w:ascii="宋体" w:hAnsi="宋体" w:eastAsia="宋体" w:cs="宋体"/>
                <w:sz w:val="24"/>
                <w:szCs w:val="24"/>
              </w:rPr>
              <w:t>开户银行：中国银行章丘支行</w:t>
            </w:r>
            <w:r>
              <w:rPr>
                <w:rFonts w:ascii="宋体" w:hAnsi="宋体" w:eastAsia="宋体" w:cs="宋体"/>
                <w:sz w:val="24"/>
                <w:szCs w:val="24"/>
              </w:rPr>
              <w:br w:type="textWrapping"/>
            </w:r>
            <w:r>
              <w:rPr>
                <w:rFonts w:ascii="宋体" w:hAnsi="宋体" w:eastAsia="宋体" w:cs="宋体"/>
                <w:sz w:val="24"/>
                <w:szCs w:val="24"/>
              </w:rPr>
              <w:t>银行账号：2234 0557 4478</w:t>
            </w:r>
            <w:r>
              <w:rPr>
                <w:rFonts w:ascii="宋体" w:hAnsi="宋体" w:eastAsia="宋体" w:cs="宋体"/>
                <w:sz w:val="24"/>
                <w:szCs w:val="24"/>
              </w:rPr>
              <w:br w:type="textWrapping"/>
            </w:r>
            <w:r>
              <w:rPr>
                <w:rFonts w:ascii="宋体" w:hAnsi="宋体" w:eastAsia="宋体" w:cs="宋体"/>
                <w:sz w:val="24"/>
                <w:szCs w:val="24"/>
              </w:rPr>
              <w:t>支付联行号：1044 5104 0689</w:t>
            </w:r>
          </w:p>
          <w:p w14:paraId="54484EB1">
            <w:pPr>
              <w:ind w:left="479" w:leftChars="228" w:firstLine="0" w:firstLineChars="0"/>
              <w:rPr>
                <w:rFonts w:hint="eastAsia" w:ascii="宋体" w:hAnsi="宋体" w:eastAsia="宋体" w:cs="宋体"/>
                <w:b/>
                <w:bCs/>
                <w:color w:val="auto"/>
                <w:kern w:val="0"/>
                <w:sz w:val="24"/>
                <w:szCs w:val="24"/>
                <w:highlight w:val="yellow"/>
              </w:rPr>
            </w:pPr>
            <w:r>
              <w:rPr>
                <w:rFonts w:hint="eastAsia" w:ascii="宋体" w:hAnsi="宋体" w:eastAsia="宋体" w:cs="宋体"/>
                <w:b/>
                <w:bCs/>
                <w:color w:val="auto"/>
                <w:kern w:val="0"/>
                <w:sz w:val="24"/>
                <w:szCs w:val="24"/>
                <w:highlight w:val="yellow"/>
              </w:rPr>
              <w:t>投标保证金应从投标人的基本账户转出至上述账户并到账，否则视为无效投标。</w:t>
            </w:r>
          </w:p>
          <w:p w14:paraId="2B2F7244">
            <w:pPr>
              <w:ind w:firstLine="482" w:firstLineChars="200"/>
              <w:rPr>
                <w:rFonts w:hint="eastAsia" w:ascii="宋体" w:hAnsi="宋体" w:eastAsia="宋体" w:cs="宋体"/>
                <w:sz w:val="24"/>
                <w:szCs w:val="24"/>
                <w:highlight w:val="cyan"/>
                <w:lang w:eastAsia="zh-CN"/>
              </w:rPr>
            </w:pPr>
            <w:r>
              <w:rPr>
                <w:rFonts w:hint="eastAsia" w:eastAsia="宋体" w:cs="Times New Roman"/>
                <w:b/>
                <w:bCs/>
                <w:sz w:val="24"/>
                <w:szCs w:val="28"/>
                <w:highlight w:val="yellow"/>
              </w:rPr>
              <w:t>转账附言：公司名称+项目名称+投标保证金</w:t>
            </w:r>
            <w:r>
              <w:rPr>
                <w:rFonts w:hint="eastAsia" w:eastAsia="宋体" w:cs="Times New Roman"/>
                <w:b/>
                <w:bCs/>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w:t>
            </w:r>
            <w:r>
              <w:rPr>
                <w:rFonts w:hint="eastAsia" w:ascii="宋体" w:hAnsi="宋体" w:cs="宋体"/>
                <w:sz w:val="24"/>
                <w:szCs w:val="24"/>
                <w:highlight w:val="yellow"/>
                <w:lang w:val="en-US" w:eastAsia="zh-CN"/>
              </w:rPr>
              <w:t>6</w:t>
            </w:r>
            <w:r>
              <w:rPr>
                <w:rFonts w:hint="eastAsia" w:ascii="宋体" w:hAnsi="宋体" w:cs="宋体"/>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bCs/>
                <w:sz w:val="24"/>
                <w:szCs w:val="24"/>
                <w:highlight w:val="yellow"/>
                <w:u w:val="single"/>
                <w:lang w:val="en-US" w:eastAsia="zh-CN"/>
              </w:rPr>
              <w:t>6</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bCs/>
                <w:sz w:val="24"/>
                <w:szCs w:val="24"/>
                <w:highlight w:val="yellow"/>
                <w:u w:val="single"/>
                <w:lang w:val="en-US" w:eastAsia="zh-CN"/>
              </w:rPr>
              <w:t>29</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6475FC3">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6  </w:t>
            </w:r>
            <w:r>
              <w:rPr>
                <w:rFonts w:hint="eastAsia" w:ascii="宋体" w:hAnsi="宋体" w:eastAsia="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30 </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13:3</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:00（若有变动，另行通知）</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Cs/>
                <w:sz w:val="24"/>
                <w:szCs w:val="24"/>
                <w:highlight w:val="yellow"/>
                <w:u w:val="single"/>
                <w:lang w:val="en-US" w:eastAsia="zh-CN"/>
              </w:rPr>
              <w:t xml:space="preserve"> 世纪大道7777号中国重汽济南发动机厂C304  </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资质标审核→唱标→商务标评审，原则上选取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C89439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1.自接到中标通知起，</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50</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14:paraId="40F4EC4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highlight w:val="yellow"/>
                <w:lang w:val="en-US" w:eastAsia="zh-CN"/>
              </w:rPr>
              <w:t>15</w:t>
            </w:r>
            <w:r>
              <w:rPr>
                <w:rFonts w:hint="eastAsia" w:hAnsi="宋体" w:eastAsia="宋体" w:cs="宋体"/>
                <w:color w:val="000000"/>
                <w:sz w:val="24"/>
                <w:szCs w:val="24"/>
              </w:rPr>
              <w:t>个日历日之内安装调试完毕。</w:t>
            </w:r>
          </w:p>
          <w:p w14:paraId="4CAC8F47">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w:t>
            </w:r>
            <w:r>
              <w:rPr>
                <w:rFonts w:hint="eastAsia" w:hAnsi="宋体" w:eastAsia="宋体" w:cs="宋体"/>
                <w:color w:val="000000"/>
                <w:sz w:val="24"/>
                <w:szCs w:val="24"/>
                <w:u w:val="single"/>
                <w:lang w:val="en-US" w:eastAsia="zh-CN"/>
              </w:rPr>
              <w:t>77</w:t>
            </w:r>
            <w:r>
              <w:rPr>
                <w:rFonts w:hint="eastAsia" w:ascii="宋体" w:hAnsi="宋体" w:eastAsia="宋体" w:cs="宋体"/>
                <w:color w:val="000000"/>
                <w:sz w:val="24"/>
                <w:szCs w:val="24"/>
                <w:u w:val="single"/>
              </w:rPr>
              <w:t>77号中国重汽集团济南动力有限公司</w:t>
            </w:r>
            <w:r>
              <w:rPr>
                <w:rFonts w:hint="eastAsia" w:hAnsi="宋体" w:eastAsia="宋体" w:cs="宋体"/>
                <w:color w:val="000000"/>
                <w:sz w:val="24"/>
                <w:szCs w:val="24"/>
                <w:u w:val="single"/>
                <w:lang w:val="en-US" w:eastAsia="zh-CN"/>
              </w:rPr>
              <w:t>济南发动机</w:t>
            </w:r>
            <w:r>
              <w:rPr>
                <w:rFonts w:hint="eastAsia" w:ascii="宋体" w:hAnsi="宋体" w:eastAsia="宋体" w:cs="宋体"/>
                <w:color w:val="000000"/>
                <w:sz w:val="24"/>
                <w:szCs w:val="24"/>
                <w:u w:val="single"/>
              </w:rPr>
              <w:t>厂</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6ED43810">
            <w:pPr>
              <w:pStyle w:val="35"/>
              <w:numPr>
                <w:ilvl w:val="0"/>
                <w:numId w:val="0"/>
              </w:numPr>
              <w:adjustRightInd w:val="0"/>
              <w:spacing w:after="0" w:line="240" w:lineRule="auto"/>
              <w:ind w:leftChars="200"/>
              <w:rPr>
                <w:rFonts w:hint="eastAsia" w:ascii="宋体" w:hAnsi="宋体" w:cs="宋体"/>
                <w:b/>
                <w:bCs/>
                <w:sz w:val="24"/>
                <w:szCs w:val="24"/>
                <w:lang w:val="en-US" w:eastAsia="zh-CN"/>
              </w:rPr>
            </w:pPr>
            <w:r>
              <w:rPr>
                <w:rFonts w:hint="eastAsia" w:ascii="宋体" w:hAnsi="宋体" w:cs="宋体"/>
                <w:b/>
                <w:bCs/>
                <w:sz w:val="24"/>
                <w:szCs w:val="24"/>
                <w:lang w:val="en-US" w:eastAsia="zh-CN"/>
              </w:rPr>
              <w:t>付款节点：</w:t>
            </w:r>
          </w:p>
          <w:p w14:paraId="406DAD1A">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3：6：1，设备到厂后，乙方开具合同价款30%的收据并30%的增值税专用发票，经甲方核对无误后支付30%。验收完成后，乙方开具合同价款60%的收据并100%的增值税专用发票，经甲方核对无误后支付60%。质保金10%在质保期届满后开具合同价款10%的收据后支付。</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w:t>
            </w:r>
            <w:r>
              <w:rPr>
                <w:rFonts w:hint="eastAsia" w:hAnsi="宋体" w:eastAsia="宋体" w:cs="宋体"/>
                <w:color w:val="000000"/>
                <w:sz w:val="24"/>
                <w:szCs w:val="24"/>
              </w:rPr>
              <w:t>自接到中标通知起</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6E3017B8">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color w:val="000000"/>
          <w:sz w:val="24"/>
          <w:szCs w:val="24"/>
          <w:highlight w:val="yellow"/>
          <w:lang w:val="en-US" w:eastAsia="zh-CN"/>
        </w:rPr>
        <w:t>公开</w:t>
      </w:r>
      <w:r>
        <w:rPr>
          <w:rFonts w:hint="eastAsia" w:hAnsi="宋体" w:eastAsia="宋体" w:cs="宋体"/>
          <w:color w:val="000000"/>
          <w:sz w:val="24"/>
          <w:szCs w:val="24"/>
          <w:highlight w:val="yellow"/>
          <w:lang w:eastAsia="zh-CN"/>
        </w:rPr>
        <w:t>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线上会议</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7001"/>
      <w:bookmarkStart w:id="8" w:name="_Toc33266627"/>
      <w:bookmarkStart w:id="9" w:name="_Toc33285487"/>
      <w:bookmarkStart w:id="10" w:name="_Toc33266950"/>
      <w:bookmarkStart w:id="11" w:name="_Toc33265653"/>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864B8D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w:t>
      </w:r>
      <w:r>
        <w:rPr>
          <w:rFonts w:hint="eastAsia" w:ascii="宋体" w:hAnsi="宋体" w:eastAsia="宋体" w:cs="宋体"/>
          <w:b/>
          <w:bCs/>
          <w:color w:val="000000"/>
          <w:sz w:val="24"/>
          <w:szCs w:val="24"/>
          <w:highlight w:val="none"/>
          <w:lang w:val="en-US" w:eastAsia="zh-CN"/>
        </w:rPr>
        <w:t>要求准备资料，上传完毕后，等待审核</w:t>
      </w:r>
      <w:r>
        <w:rPr>
          <w:rFonts w:hint="eastAsia" w:ascii="宋体" w:hAnsi="宋体" w:eastAsia="宋体" w:cs="宋体"/>
          <w:b/>
          <w:color w:val="000000"/>
          <w:sz w:val="24"/>
          <w:szCs w:val="24"/>
          <w:highlight w:val="none"/>
        </w:rPr>
        <w:t>；</w:t>
      </w:r>
    </w:p>
    <w:p w14:paraId="3EA24120">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468EDD5F">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中标人确定：原则上合理最低价中标。</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8"/>
      <w:bookmarkStart w:id="15" w:name="OLE_LINK29"/>
      <w:bookmarkStart w:id="16" w:name="OLE_LINK27"/>
      <w:bookmarkStart w:id="17" w:name="OLE_LINK26"/>
      <w:bookmarkStart w:id="18" w:name="OLE_LINK25"/>
      <w:r>
        <w:rPr>
          <w:rFonts w:hint="eastAsia" w:ascii="宋体" w:hAnsi="宋体" w:eastAsia="宋体" w:cs="宋体"/>
          <w:bCs/>
          <w:sz w:val="24"/>
          <w:szCs w:val="24"/>
        </w:rPr>
        <w:t>；</w:t>
      </w:r>
      <w:bookmarkEnd w:id="14"/>
      <w:bookmarkEnd w:id="15"/>
      <w:bookmarkEnd w:id="16"/>
      <w:bookmarkEnd w:id="17"/>
      <w:bookmarkEnd w:id="18"/>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A2155F8">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7"/>
        <w:numPr>
          <w:ilvl w:val="-1"/>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19"/>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0"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0"/>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1"/>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8"/>
      <w:bookmarkStart w:id="23" w:name="OLE_LINK19"/>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5A04E70">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宋体"/>
          <w:color w:val="000000"/>
          <w:sz w:val="24"/>
          <w:szCs w:val="24"/>
          <w:highlight w:val="none"/>
          <w:lang w:val="en-US" w:eastAsia="zh-CN"/>
        </w:rPr>
        <w:t>技术条件满足招标文件的承诺书。</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5D8A9C54">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204093B">
      <w:pPr>
        <w:pStyle w:val="17"/>
        <w:numPr>
          <w:ilvl w:val="0"/>
          <w:numId w:val="10"/>
        </w:numPr>
        <w:jc w:val="center"/>
        <w:outlineLvl w:val="0"/>
        <w:rPr>
          <w:rFonts w:hint="eastAsia" w:ascii="Calibri" w:hAnsi="Calibri" w:eastAsia="宋体" w:cs="Times New Roman"/>
          <w:b/>
          <w:bCs/>
          <w:kern w:val="44"/>
          <w:sz w:val="36"/>
          <w:szCs w:val="44"/>
          <w:lang w:val="en-US" w:eastAsia="zh-CN"/>
        </w:rPr>
      </w:pPr>
      <w:bookmarkStart w:id="24" w:name="_Toc9849"/>
      <w:bookmarkStart w:id="25" w:name="_Toc227726571"/>
      <w:bookmarkStart w:id="26" w:name="_Toc465187648"/>
      <w:bookmarkStart w:id="27" w:name="_Toc127880405"/>
      <w:bookmarkStart w:id="28" w:name="_Toc257033749"/>
      <w:bookmarkStart w:id="29" w:name="_Toc137705865"/>
      <w:bookmarkStart w:id="30" w:name="_Toc227726361"/>
      <w:bookmarkStart w:id="31" w:name="_Toc169605877"/>
      <w:bookmarkStart w:id="32" w:name="_Toc257037877"/>
      <w:r>
        <w:rPr>
          <w:rFonts w:hint="eastAsia" w:ascii="Calibri" w:hAnsi="Calibri" w:eastAsia="宋体" w:cs="Times New Roman"/>
          <w:b/>
          <w:bCs/>
          <w:kern w:val="44"/>
          <w:sz w:val="36"/>
          <w:szCs w:val="44"/>
          <w:lang w:val="en-US" w:eastAsia="zh-CN"/>
        </w:rPr>
        <w:t>技术标书</w:t>
      </w:r>
      <w:bookmarkEnd w:id="24"/>
    </w:p>
    <w:bookmarkEnd w:id="25"/>
    <w:bookmarkEnd w:id="26"/>
    <w:bookmarkEnd w:id="27"/>
    <w:bookmarkEnd w:id="28"/>
    <w:bookmarkEnd w:id="29"/>
    <w:bookmarkEnd w:id="30"/>
    <w:bookmarkEnd w:id="31"/>
    <w:bookmarkEnd w:id="32"/>
    <w:p w14:paraId="2394B1A3">
      <w:pPr>
        <w:ind w:firstLine="880"/>
        <w:rPr>
          <w:rFonts w:hint="eastAsia" w:ascii="黑体" w:hAnsi="宋体" w:eastAsia="黑体"/>
          <w:sz w:val="44"/>
          <w:szCs w:val="44"/>
        </w:rPr>
      </w:pPr>
      <w:bookmarkStart w:id="33" w:name="_Toc28859"/>
    </w:p>
    <w:p w14:paraId="30E4F77C">
      <w:pPr>
        <w:spacing w:line="480" w:lineRule="exact"/>
        <w:jc w:val="center"/>
        <w:rPr>
          <w:rFonts w:hint="eastAsia" w:ascii="宋体" w:hAnsi="宋体"/>
        </w:rPr>
      </w:pPr>
      <w:r>
        <w:rPr>
          <w:rFonts w:hint="eastAsia" w:ascii="黑体" w:hAnsi="宋体" w:eastAsia="黑体"/>
        </w:rPr>
        <w:t>目        录</w:t>
      </w:r>
    </w:p>
    <w:p w14:paraId="7BDE3559">
      <w:pPr>
        <w:spacing w:line="480" w:lineRule="exact"/>
        <w:rPr>
          <w:rFonts w:hint="eastAsia" w:ascii="宋体" w:hAnsi="宋体"/>
        </w:rPr>
      </w:pPr>
    </w:p>
    <w:p w14:paraId="21EF0139">
      <w:pPr>
        <w:pStyle w:val="24"/>
        <w:tabs>
          <w:tab w:val="right" w:leader="dot" w:pos="8787"/>
        </w:tabs>
        <w:spacing w:line="480" w:lineRule="auto"/>
      </w:pPr>
      <w:r>
        <w:rPr>
          <w:rFonts w:hint="eastAsia" w:ascii="宋体" w:hAnsi="宋体"/>
          <w:sz w:val="24"/>
          <w:szCs w:val="24"/>
        </w:rPr>
        <w:fldChar w:fldCharType="begin"/>
      </w:r>
      <w:r>
        <w:rPr>
          <w:rFonts w:hint="eastAsia" w:ascii="宋体" w:hAnsi="宋体"/>
          <w:sz w:val="24"/>
          <w:szCs w:val="24"/>
        </w:rPr>
        <w:instrText xml:space="preserve"> TOC \o "1-2" \h \z \u </w:instrText>
      </w:r>
      <w:r>
        <w:rPr>
          <w:rFonts w:hint="eastAsia" w:ascii="宋体" w:hAnsi="宋体"/>
          <w:sz w:val="24"/>
          <w:szCs w:val="24"/>
        </w:rPr>
        <w:fldChar w:fldCharType="separate"/>
      </w:r>
      <w:r>
        <w:rPr>
          <w:rFonts w:hint="eastAsia" w:ascii="宋体" w:hAnsi="宋体"/>
        </w:rPr>
        <w:fldChar w:fldCharType="begin"/>
      </w:r>
      <w:r>
        <w:rPr>
          <w:rFonts w:hint="eastAsia" w:ascii="宋体" w:hAnsi="宋体"/>
        </w:rPr>
        <w:instrText xml:space="preserve"> HYPERLINK \l _Toc2567 </w:instrText>
      </w:r>
      <w:r>
        <w:rPr>
          <w:rFonts w:hint="eastAsia" w:ascii="宋体" w:hAnsi="宋体"/>
        </w:rPr>
        <w:fldChar w:fldCharType="separate"/>
      </w:r>
      <w:r>
        <w:rPr>
          <w:rFonts w:hint="eastAsia" w:ascii="黑体" w:eastAsia="黑体"/>
          <w:szCs w:val="24"/>
        </w:rPr>
        <w:t>第一章  采购货物概况</w:t>
      </w:r>
      <w:r>
        <w:tab/>
      </w:r>
      <w:r>
        <w:fldChar w:fldCharType="begin"/>
      </w:r>
      <w:r>
        <w:instrText xml:space="preserve"> PAGEREF _Toc2567 </w:instrText>
      </w:r>
      <w:r>
        <w:fldChar w:fldCharType="separate"/>
      </w:r>
      <w:r>
        <w:t>1</w:t>
      </w:r>
      <w:r>
        <w:fldChar w:fldCharType="end"/>
      </w:r>
      <w:r>
        <w:rPr>
          <w:rFonts w:hint="eastAsia" w:ascii="宋体" w:hAnsi="宋体"/>
        </w:rPr>
        <w:fldChar w:fldCharType="end"/>
      </w:r>
    </w:p>
    <w:p w14:paraId="33675D04">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_Toc32262 </w:instrText>
      </w:r>
      <w:r>
        <w:rPr>
          <w:rFonts w:hint="eastAsia" w:ascii="宋体" w:hAnsi="宋体"/>
        </w:rPr>
        <w:fldChar w:fldCharType="separate"/>
      </w:r>
      <w:r>
        <w:rPr>
          <w:rFonts w:hint="eastAsia" w:ascii="黑体" w:eastAsia="黑体"/>
          <w:szCs w:val="24"/>
        </w:rPr>
        <w:t>第二章  技术要求</w:t>
      </w:r>
      <w:r>
        <w:tab/>
      </w:r>
      <w:r>
        <w:fldChar w:fldCharType="begin"/>
      </w:r>
      <w:r>
        <w:instrText xml:space="preserve"> PAGEREF _Toc32262 </w:instrText>
      </w:r>
      <w:r>
        <w:fldChar w:fldCharType="separate"/>
      </w:r>
      <w:r>
        <w:t>3</w:t>
      </w:r>
      <w:r>
        <w:fldChar w:fldCharType="end"/>
      </w:r>
      <w:r>
        <w:rPr>
          <w:rFonts w:hint="eastAsia" w:ascii="宋体" w:hAnsi="宋体"/>
        </w:rPr>
        <w:fldChar w:fldCharType="end"/>
      </w:r>
    </w:p>
    <w:p w14:paraId="3F7F5CF8">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_Toc10963 </w:instrText>
      </w:r>
      <w:r>
        <w:rPr>
          <w:rFonts w:hint="eastAsia" w:ascii="宋体" w:hAnsi="宋体"/>
        </w:rPr>
        <w:fldChar w:fldCharType="separate"/>
      </w:r>
      <w:r>
        <w:rPr>
          <w:rFonts w:hint="eastAsia" w:ascii="黑体" w:eastAsia="黑体"/>
          <w:szCs w:val="24"/>
        </w:rPr>
        <w:t>第三章  供货范围及供货方式</w:t>
      </w:r>
      <w:r>
        <w:tab/>
      </w:r>
      <w:r>
        <w:fldChar w:fldCharType="begin"/>
      </w:r>
      <w:r>
        <w:instrText xml:space="preserve"> PAGEREF _Toc10963 </w:instrText>
      </w:r>
      <w:r>
        <w:fldChar w:fldCharType="separate"/>
      </w:r>
      <w:r>
        <w:t>11</w:t>
      </w:r>
      <w:r>
        <w:fldChar w:fldCharType="end"/>
      </w:r>
      <w:r>
        <w:rPr>
          <w:rFonts w:hint="eastAsia" w:ascii="宋体" w:hAnsi="宋体"/>
        </w:rPr>
        <w:fldChar w:fldCharType="end"/>
      </w:r>
    </w:p>
    <w:p w14:paraId="231802AC">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_Toc30960 </w:instrText>
      </w:r>
      <w:r>
        <w:rPr>
          <w:rFonts w:hint="eastAsia" w:ascii="宋体" w:hAnsi="宋体"/>
        </w:rPr>
        <w:fldChar w:fldCharType="separate"/>
      </w:r>
      <w:r>
        <w:rPr>
          <w:rFonts w:hint="eastAsia" w:ascii="黑体" w:eastAsia="黑体"/>
          <w:szCs w:val="24"/>
        </w:rPr>
        <w:t>第四章  售中售后服务</w:t>
      </w:r>
      <w:r>
        <w:tab/>
      </w:r>
      <w:r>
        <w:fldChar w:fldCharType="begin"/>
      </w:r>
      <w:r>
        <w:instrText xml:space="preserve"> PAGEREF _Toc30960 </w:instrText>
      </w:r>
      <w:r>
        <w:fldChar w:fldCharType="separate"/>
      </w:r>
      <w:r>
        <w:t>16</w:t>
      </w:r>
      <w:r>
        <w:fldChar w:fldCharType="end"/>
      </w:r>
      <w:r>
        <w:rPr>
          <w:rFonts w:hint="eastAsia" w:ascii="宋体" w:hAnsi="宋体"/>
        </w:rPr>
        <w:fldChar w:fldCharType="end"/>
      </w:r>
    </w:p>
    <w:p w14:paraId="6CCBF398">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_Toc21539 </w:instrText>
      </w:r>
      <w:r>
        <w:rPr>
          <w:rFonts w:hint="eastAsia" w:ascii="宋体" w:hAnsi="宋体"/>
        </w:rPr>
        <w:fldChar w:fldCharType="separate"/>
      </w:r>
      <w:r>
        <w:rPr>
          <w:rFonts w:hint="eastAsia" w:ascii="黑体" w:eastAsia="黑体"/>
          <w:szCs w:val="24"/>
        </w:rPr>
        <w:t>第五章  预验收和终验收</w:t>
      </w:r>
      <w:r>
        <w:tab/>
      </w:r>
      <w:r>
        <w:fldChar w:fldCharType="begin"/>
      </w:r>
      <w:r>
        <w:instrText xml:space="preserve"> PAGEREF _Toc21539 </w:instrText>
      </w:r>
      <w:r>
        <w:fldChar w:fldCharType="separate"/>
      </w:r>
      <w:r>
        <w:t>18</w:t>
      </w:r>
      <w:r>
        <w:fldChar w:fldCharType="end"/>
      </w:r>
      <w:r>
        <w:rPr>
          <w:rFonts w:hint="eastAsia" w:ascii="宋体" w:hAnsi="宋体"/>
        </w:rPr>
        <w:fldChar w:fldCharType="end"/>
      </w:r>
    </w:p>
    <w:p w14:paraId="33863AD9">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_Toc12996 </w:instrText>
      </w:r>
      <w:r>
        <w:rPr>
          <w:rFonts w:hint="eastAsia" w:ascii="宋体" w:hAnsi="宋体"/>
        </w:rPr>
        <w:fldChar w:fldCharType="separate"/>
      </w:r>
      <w:r>
        <w:rPr>
          <w:rFonts w:hint="eastAsia" w:ascii="黑体" w:eastAsia="黑体"/>
          <w:szCs w:val="24"/>
        </w:rPr>
        <w:t>第六章  投标技术文件一般要求</w:t>
      </w:r>
      <w:r>
        <w:tab/>
      </w:r>
      <w:r>
        <w:fldChar w:fldCharType="begin"/>
      </w:r>
      <w:r>
        <w:instrText xml:space="preserve"> PAGEREF _Toc12996 </w:instrText>
      </w:r>
      <w:r>
        <w:fldChar w:fldCharType="separate"/>
      </w:r>
      <w:r>
        <w:t>21</w:t>
      </w:r>
      <w:r>
        <w:fldChar w:fldCharType="end"/>
      </w:r>
      <w:r>
        <w:rPr>
          <w:rFonts w:hint="eastAsia" w:ascii="宋体" w:hAnsi="宋体"/>
        </w:rPr>
        <w:fldChar w:fldCharType="end"/>
      </w:r>
    </w:p>
    <w:p w14:paraId="5DA0B7E9">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_Toc31849 </w:instrText>
      </w:r>
      <w:r>
        <w:rPr>
          <w:rFonts w:hint="eastAsia" w:ascii="宋体" w:hAnsi="宋体"/>
        </w:rPr>
        <w:fldChar w:fldCharType="separate"/>
      </w:r>
      <w:r>
        <w:rPr>
          <w:rFonts w:hint="eastAsia" w:ascii="黑体" w:eastAsia="黑体"/>
          <w:szCs w:val="24"/>
        </w:rPr>
        <w:t>第七章  其它要求及说明</w:t>
      </w:r>
      <w:r>
        <w:tab/>
      </w:r>
      <w:r>
        <w:fldChar w:fldCharType="begin"/>
      </w:r>
      <w:r>
        <w:instrText xml:space="preserve"> PAGEREF _Toc31849 </w:instrText>
      </w:r>
      <w:r>
        <w:fldChar w:fldCharType="separate"/>
      </w:r>
      <w:r>
        <w:t>23</w:t>
      </w:r>
      <w:r>
        <w:fldChar w:fldCharType="end"/>
      </w:r>
      <w:r>
        <w:rPr>
          <w:rFonts w:hint="eastAsia" w:ascii="宋体" w:hAnsi="宋体"/>
        </w:rPr>
        <w:fldChar w:fldCharType="end"/>
      </w:r>
    </w:p>
    <w:p w14:paraId="2DAB8D49">
      <w:pPr>
        <w:spacing w:line="480" w:lineRule="auto"/>
        <w:rPr>
          <w:rFonts w:hint="eastAsia" w:ascii="宋体" w:hAnsi="宋体"/>
        </w:rPr>
      </w:pPr>
      <w:r>
        <w:rPr>
          <w:rFonts w:hint="eastAsia" w:ascii="宋体" w:hAnsi="宋体"/>
        </w:rPr>
        <w:fldChar w:fldCharType="end"/>
      </w:r>
    </w:p>
    <w:p w14:paraId="24D321B5">
      <w:pPr>
        <w:spacing w:line="480" w:lineRule="exact"/>
        <w:ind w:firstLine="840" w:firstLineChars="400"/>
        <w:rPr>
          <w:rFonts w:hint="eastAsia" w:ascii="黑体" w:hAnsi="宋体" w:eastAsia="黑体"/>
        </w:rPr>
      </w:pPr>
    </w:p>
    <w:p w14:paraId="2E1B8B69">
      <w:pPr>
        <w:spacing w:line="480" w:lineRule="exact"/>
        <w:ind w:firstLine="840" w:firstLineChars="400"/>
        <w:rPr>
          <w:rFonts w:hint="eastAsia" w:ascii="黑体" w:hAnsi="宋体" w:eastAsia="黑体"/>
        </w:rPr>
      </w:pPr>
    </w:p>
    <w:p w14:paraId="28CADDFE">
      <w:pPr>
        <w:spacing w:line="480" w:lineRule="exact"/>
        <w:ind w:firstLine="840" w:firstLineChars="400"/>
        <w:rPr>
          <w:rFonts w:ascii="黑体" w:hAnsi="宋体" w:eastAsia="黑体"/>
        </w:rPr>
        <w:sectPr>
          <w:headerReference r:id="rId10" w:type="default"/>
          <w:footerReference r:id="rId11" w:type="default"/>
          <w:pgSz w:w="11906" w:h="16838"/>
          <w:pgMar w:top="1701" w:right="1418" w:bottom="1134" w:left="1701" w:header="1021" w:footer="680" w:gutter="0"/>
          <w:pgNumType w:start="1"/>
          <w:cols w:space="720" w:num="1"/>
          <w:docGrid w:type="lines" w:linePitch="312" w:charSpace="0"/>
        </w:sectPr>
      </w:pPr>
    </w:p>
    <w:p w14:paraId="2341FB4E">
      <w:pPr>
        <w:pStyle w:val="2"/>
        <w:shd w:val="clear" w:color="auto" w:fill="auto"/>
        <w:spacing w:before="120" w:after="120" w:line="480" w:lineRule="exact"/>
        <w:jc w:val="center"/>
        <w:rPr>
          <w:rFonts w:hint="eastAsia" w:ascii="黑体" w:eastAsia="黑体"/>
          <w:b w:val="0"/>
          <w:sz w:val="24"/>
          <w:szCs w:val="24"/>
          <w:highlight w:val="none"/>
        </w:rPr>
      </w:pPr>
      <w:bookmarkStart w:id="34" w:name="_Toc2894"/>
      <w:bookmarkStart w:id="35" w:name="_Toc28854"/>
      <w:bookmarkStart w:id="36" w:name="_Toc2567"/>
      <w:bookmarkStart w:id="37" w:name="_Toc1271"/>
      <w:r>
        <w:rPr>
          <w:rFonts w:hint="eastAsia" w:ascii="黑体" w:eastAsia="黑体"/>
          <w:b w:val="0"/>
          <w:sz w:val="24"/>
          <w:szCs w:val="24"/>
          <w:highlight w:val="none"/>
        </w:rPr>
        <w:t>第一章采购货物概况</w:t>
      </w:r>
      <w:bookmarkEnd w:id="34"/>
      <w:bookmarkEnd w:id="35"/>
      <w:bookmarkEnd w:id="36"/>
      <w:bookmarkEnd w:id="37"/>
    </w:p>
    <w:p w14:paraId="01858B73">
      <w:pPr>
        <w:pStyle w:val="4"/>
        <w:shd w:val="clear" w:color="auto" w:fill="auto"/>
        <w:spacing w:before="120" w:after="120" w:line="480" w:lineRule="exact"/>
        <w:jc w:val="center"/>
        <w:rPr>
          <w:rFonts w:hint="eastAsia"/>
          <w:b w:val="0"/>
          <w:sz w:val="24"/>
          <w:szCs w:val="24"/>
          <w:highlight w:val="none"/>
        </w:rPr>
      </w:pPr>
      <w:bookmarkStart w:id="38" w:name="_Toc9247"/>
      <w:bookmarkStart w:id="39" w:name="_Toc137705866"/>
      <w:bookmarkStart w:id="40" w:name="_Toc24900"/>
      <w:bookmarkStart w:id="41" w:name="_Toc13530"/>
      <w:bookmarkStart w:id="42" w:name="_Toc13953"/>
      <w:r>
        <w:rPr>
          <w:rFonts w:hint="eastAsia"/>
          <w:b w:val="0"/>
          <w:sz w:val="24"/>
          <w:szCs w:val="24"/>
          <w:highlight w:val="none"/>
        </w:rPr>
        <w:t>第一节使用环境</w:t>
      </w:r>
      <w:bookmarkEnd w:id="38"/>
      <w:bookmarkEnd w:id="39"/>
      <w:bookmarkEnd w:id="40"/>
      <w:bookmarkEnd w:id="41"/>
      <w:bookmarkEnd w:id="42"/>
    </w:p>
    <w:p w14:paraId="3C7BF319">
      <w:pPr>
        <w:shd w:val="clear" w:color="auto" w:fill="auto"/>
        <w:spacing w:line="480" w:lineRule="exact"/>
        <w:ind w:firstLine="420" w:firstLineChars="200"/>
        <w:rPr>
          <w:rFonts w:hint="eastAsia" w:ascii="黑体" w:hAnsi="宋体" w:eastAsia="黑体"/>
          <w:highlight w:val="none"/>
          <w:u w:val="single"/>
          <w:shd w:val="pct10" w:color="auto" w:fill="FFFFFF"/>
        </w:rPr>
      </w:pPr>
      <w:r>
        <w:rPr>
          <w:rFonts w:hint="eastAsia" w:ascii="黑体" w:hAnsi="宋体" w:eastAsia="黑体"/>
          <w:highlight w:val="none"/>
        </w:rPr>
        <w:t>一、项目名称：</w:t>
      </w:r>
      <w:r>
        <w:rPr>
          <w:rFonts w:hint="eastAsia" w:ascii="黑体" w:hAnsi="宋体" w:eastAsia="黑体"/>
          <w:highlight w:val="none"/>
          <w:u w:val="single"/>
          <w:lang w:val="en-US" w:eastAsia="zh-CN"/>
        </w:rPr>
        <w:t>高压油泵PTO总成自制项目</w:t>
      </w:r>
    </w:p>
    <w:p w14:paraId="46A03B04">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二、建设地点：</w:t>
      </w:r>
      <w:r>
        <w:rPr>
          <w:rFonts w:hint="eastAsia" w:ascii="宋体" w:hAnsi="宋体"/>
          <w:highlight w:val="none"/>
          <w:u w:val="single"/>
          <w:shd w:val="pct10" w:color="auto" w:fill="FFFFFF"/>
        </w:rPr>
        <w:t>章丘市圣井镇重汽工业园</w:t>
      </w:r>
    </w:p>
    <w:p w14:paraId="4BDE871C">
      <w:pPr>
        <w:shd w:val="clear" w:color="auto" w:fill="auto"/>
        <w:spacing w:line="480" w:lineRule="exact"/>
        <w:ind w:firstLine="420" w:firstLineChars="200"/>
        <w:rPr>
          <w:rFonts w:hint="eastAsia" w:ascii="宋体" w:hAnsi="宋体"/>
          <w:highlight w:val="none"/>
          <w:u w:val="single"/>
          <w:shd w:val="pct10" w:color="auto" w:fill="FFFFFF"/>
        </w:rPr>
      </w:pPr>
      <w:r>
        <w:rPr>
          <w:rFonts w:hint="eastAsia" w:ascii="黑体" w:hAnsi="宋体" w:eastAsia="黑体"/>
          <w:highlight w:val="none"/>
        </w:rPr>
        <w:t>三、使用地点：</w:t>
      </w:r>
      <w:r>
        <w:rPr>
          <w:rFonts w:hint="eastAsia" w:ascii="宋体" w:hAnsi="宋体"/>
          <w:highlight w:val="none"/>
          <w:u w:val="single"/>
        </w:rPr>
        <w:t>中国重汽集团济</w:t>
      </w:r>
      <w:r>
        <w:rPr>
          <w:rFonts w:hint="eastAsia" w:ascii="宋体" w:hAnsi="宋体"/>
          <w:color w:val="000000"/>
          <w:highlight w:val="none"/>
          <w:u w:val="single"/>
        </w:rPr>
        <w:t>南发动机厂</w:t>
      </w:r>
    </w:p>
    <w:p w14:paraId="5147DC8F">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四、工作制度：</w:t>
      </w:r>
      <w:r>
        <w:rPr>
          <w:rFonts w:hint="eastAsia" w:ascii="宋体" w:hAnsi="宋体"/>
          <w:highlight w:val="none"/>
        </w:rPr>
        <w:t>全年工作250天、</w:t>
      </w:r>
      <w:r>
        <w:rPr>
          <w:rFonts w:hint="eastAsia" w:ascii="宋体" w:hAnsi="宋体"/>
          <w:highlight w:val="none"/>
          <w:u w:val="single"/>
          <w:shd w:val="pct10" w:color="auto" w:fill="FFFFFF"/>
        </w:rPr>
        <w:t>3</w:t>
      </w:r>
      <w:r>
        <w:rPr>
          <w:rFonts w:hint="eastAsia" w:ascii="宋体" w:hAnsi="宋体"/>
          <w:highlight w:val="none"/>
        </w:rPr>
        <w:t>班制、设备年时基数</w:t>
      </w:r>
      <w:r>
        <w:rPr>
          <w:rFonts w:hint="eastAsia" w:ascii="宋体" w:hAnsi="宋体"/>
          <w:highlight w:val="none"/>
          <w:u w:val="single"/>
          <w:shd w:val="pct10" w:color="auto" w:fill="FFFFFF"/>
        </w:rPr>
        <w:t>5000</w:t>
      </w:r>
      <w:r>
        <w:rPr>
          <w:rFonts w:hint="eastAsia" w:ascii="宋体" w:hAnsi="宋体"/>
          <w:highlight w:val="none"/>
        </w:rPr>
        <w:t>小时</w:t>
      </w:r>
    </w:p>
    <w:p w14:paraId="603CBFA6">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五、使用地点区域自然环境：</w:t>
      </w:r>
    </w:p>
    <w:p w14:paraId="01AB06F6">
      <w:pPr>
        <w:shd w:val="clear" w:color="auto" w:fill="auto"/>
        <w:spacing w:line="480" w:lineRule="exact"/>
        <w:ind w:firstLine="420" w:firstLineChars="200"/>
        <w:rPr>
          <w:rFonts w:hint="eastAsia" w:ascii="宋体" w:hAnsi="宋体"/>
          <w:highlight w:val="none"/>
        </w:rPr>
      </w:pPr>
      <w:r>
        <w:rPr>
          <w:rFonts w:hint="eastAsia" w:ascii="宋体" w:hAnsi="宋体"/>
          <w:bCs/>
          <w:highlight w:val="none"/>
        </w:rPr>
        <w:t>1、海拨高度：1000</w:t>
      </w:r>
      <w:r>
        <w:rPr>
          <w:rFonts w:ascii="宋体" w:hAnsi="宋体"/>
          <w:bCs/>
          <w:highlight w:val="none"/>
        </w:rPr>
        <w:t>m</w:t>
      </w:r>
      <w:r>
        <w:rPr>
          <w:rFonts w:hint="eastAsia" w:ascii="宋体" w:hAnsi="宋体"/>
          <w:bCs/>
          <w:highlight w:val="none"/>
        </w:rPr>
        <w:t>以下</w:t>
      </w:r>
    </w:p>
    <w:p w14:paraId="5DE3D875">
      <w:pPr>
        <w:shd w:val="clear" w:color="auto" w:fill="auto"/>
        <w:spacing w:line="480" w:lineRule="exact"/>
        <w:ind w:left="2047" w:leftChars="200" w:hanging="1627" w:hangingChars="775"/>
        <w:rPr>
          <w:rFonts w:hint="eastAsia" w:ascii="宋体" w:hAnsi="宋体"/>
          <w:highlight w:val="none"/>
        </w:rPr>
      </w:pPr>
      <w:r>
        <w:rPr>
          <w:rFonts w:hint="eastAsia" w:ascii="宋体" w:hAnsi="宋体"/>
          <w:highlight w:val="none"/>
        </w:rPr>
        <w:t>2、环境温度：室外极端最低温度-19.7℃、极端最高温度42℃，昼夜最大温</w:t>
      </w:r>
      <w:r>
        <w:rPr>
          <w:rFonts w:hint="eastAsia" w:ascii="宋体" w:hAnsi="宋体"/>
          <w:bCs/>
          <w:highlight w:val="none"/>
        </w:rPr>
        <w:t>差25℃；室内温度5～40℃。</w:t>
      </w:r>
    </w:p>
    <w:p w14:paraId="6B2E705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3、相对湿度：年平均59%，</w:t>
      </w:r>
      <w:r>
        <w:rPr>
          <w:rFonts w:hint="eastAsia" w:ascii="宋体" w:hAnsi="宋体"/>
          <w:bCs/>
          <w:highlight w:val="none"/>
        </w:rPr>
        <w:t>最大95%、最小15%。</w:t>
      </w:r>
    </w:p>
    <w:p w14:paraId="541137DE">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4、降雨量：日最大降雨量300mm、时最大降雨量100mm。</w:t>
      </w:r>
    </w:p>
    <w:p w14:paraId="5360C9F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5、最大风速：33.3m/s。</w:t>
      </w:r>
    </w:p>
    <w:p w14:paraId="2ECBDB1E">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6、最大积雪厚度：200mm。</w:t>
      </w:r>
    </w:p>
    <w:p w14:paraId="694EBC3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7、最大冻土深度：450mm。</w:t>
      </w:r>
    </w:p>
    <w:p w14:paraId="6753EB75">
      <w:pPr>
        <w:shd w:val="clear" w:color="auto" w:fill="auto"/>
        <w:spacing w:line="480" w:lineRule="exact"/>
        <w:ind w:firstLine="420" w:firstLineChars="200"/>
        <w:rPr>
          <w:rFonts w:hint="eastAsia" w:ascii="宋体" w:hAnsi="宋体"/>
          <w:highlight w:val="none"/>
        </w:rPr>
      </w:pPr>
      <w:r>
        <w:rPr>
          <w:rFonts w:hint="eastAsia" w:ascii="宋体" w:hAnsi="宋体"/>
          <w:highlight w:val="none"/>
        </w:rPr>
        <w:t>8、地震设防裂度：七度。</w:t>
      </w:r>
    </w:p>
    <w:p w14:paraId="06B14E22">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六、能源环境：</w:t>
      </w:r>
    </w:p>
    <w:p w14:paraId="7404DB65">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1、电力：中国制式，供电电压</w:t>
      </w:r>
      <w:r>
        <w:rPr>
          <w:rFonts w:ascii="宋体" w:hAnsi="宋体"/>
          <w:highlight w:val="none"/>
        </w:rPr>
        <w:t>380V</w:t>
      </w:r>
      <w:r>
        <w:rPr>
          <w:rFonts w:hint="eastAsia" w:ascii="宋体" w:hAnsi="宋体"/>
          <w:highlight w:val="none"/>
        </w:rPr>
        <w:t>±</w:t>
      </w:r>
      <w:r>
        <w:rPr>
          <w:rFonts w:ascii="宋体" w:hAnsi="宋体"/>
          <w:highlight w:val="none"/>
        </w:rPr>
        <w:t>1</w:t>
      </w:r>
      <w:r>
        <w:rPr>
          <w:rFonts w:hint="eastAsia" w:ascii="宋体" w:hAnsi="宋体"/>
          <w:highlight w:val="none"/>
        </w:rPr>
        <w:t>5</w:t>
      </w:r>
      <w:r>
        <w:rPr>
          <w:rFonts w:ascii="宋体" w:hAnsi="宋体"/>
          <w:highlight w:val="none"/>
        </w:rPr>
        <w:t>%</w:t>
      </w:r>
      <w:r>
        <w:rPr>
          <w:rFonts w:hint="eastAsia" w:ascii="宋体" w:hAnsi="宋体"/>
          <w:highlight w:val="none"/>
        </w:rPr>
        <w:t>/220V±</w:t>
      </w:r>
      <w:r>
        <w:rPr>
          <w:rFonts w:ascii="宋体" w:hAnsi="宋体"/>
          <w:highlight w:val="none"/>
        </w:rPr>
        <w:t>1</w:t>
      </w:r>
      <w:r>
        <w:rPr>
          <w:rFonts w:hint="eastAsia" w:ascii="宋体" w:hAnsi="宋体"/>
          <w:highlight w:val="none"/>
        </w:rPr>
        <w:t>5</w:t>
      </w:r>
      <w:r>
        <w:rPr>
          <w:rFonts w:ascii="宋体" w:hAnsi="宋体"/>
          <w:highlight w:val="none"/>
        </w:rPr>
        <w:t>%</w:t>
      </w:r>
      <w:r>
        <w:rPr>
          <w:rFonts w:hint="eastAsia" w:ascii="宋体" w:hAnsi="宋体"/>
          <w:highlight w:val="none"/>
        </w:rPr>
        <w:t>，供电频率</w:t>
      </w:r>
      <w:r>
        <w:rPr>
          <w:rFonts w:ascii="宋体" w:hAnsi="宋体"/>
          <w:highlight w:val="none"/>
        </w:rPr>
        <w:t>50Hz</w:t>
      </w:r>
      <w:r>
        <w:rPr>
          <w:rFonts w:hint="eastAsia" w:ascii="宋体" w:hAnsi="宋体"/>
          <w:highlight w:val="none"/>
        </w:rPr>
        <w:t>±</w:t>
      </w:r>
      <w:r>
        <w:rPr>
          <w:rFonts w:ascii="宋体" w:hAnsi="宋体"/>
          <w:highlight w:val="none"/>
        </w:rPr>
        <w:t>2%</w:t>
      </w:r>
      <w:r>
        <w:rPr>
          <w:rFonts w:hint="eastAsia" w:ascii="宋体" w:hAnsi="宋体"/>
          <w:highlight w:val="none"/>
        </w:rPr>
        <w:t>。</w:t>
      </w:r>
    </w:p>
    <w:p w14:paraId="52AB398F">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2、压缩空气：自备空压机自产压缩空气，</w:t>
      </w:r>
      <w:r>
        <w:rPr>
          <w:rFonts w:ascii="宋体" w:hAnsi="宋体"/>
          <w:highlight w:val="none"/>
        </w:rPr>
        <w:t>0.</w:t>
      </w:r>
      <w:r>
        <w:rPr>
          <w:rFonts w:hint="eastAsia" w:ascii="宋体" w:hAnsi="宋体"/>
          <w:highlight w:val="none"/>
        </w:rPr>
        <w:t>4～0.6</w:t>
      </w:r>
      <w:r>
        <w:rPr>
          <w:rFonts w:ascii="宋体" w:hAnsi="宋体"/>
          <w:highlight w:val="none"/>
        </w:rPr>
        <w:t>M</w:t>
      </w:r>
      <w:r>
        <w:rPr>
          <w:rFonts w:hint="eastAsia" w:ascii="宋体" w:hAnsi="宋体"/>
          <w:highlight w:val="none"/>
        </w:rPr>
        <w:t>P</w:t>
      </w:r>
      <w:r>
        <w:rPr>
          <w:rFonts w:ascii="宋体" w:hAnsi="宋体"/>
          <w:highlight w:val="none"/>
        </w:rPr>
        <w:t>a</w:t>
      </w:r>
      <w:r>
        <w:rPr>
          <w:rFonts w:hint="eastAsia" w:ascii="宋体" w:hAnsi="宋体"/>
          <w:highlight w:val="none"/>
        </w:rPr>
        <w:t>。</w:t>
      </w:r>
    </w:p>
    <w:p w14:paraId="7B0AD2A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3、工位照度：不低于500Lx。</w:t>
      </w:r>
    </w:p>
    <w:p w14:paraId="30D88C76">
      <w:pPr>
        <w:shd w:val="clear" w:color="auto" w:fill="auto"/>
        <w:spacing w:line="480" w:lineRule="exact"/>
        <w:ind w:firstLine="420" w:firstLineChars="200"/>
        <w:rPr>
          <w:rFonts w:hint="eastAsia" w:ascii="宋体" w:hAnsi="宋体"/>
          <w:highlight w:val="none"/>
        </w:rPr>
      </w:pPr>
    </w:p>
    <w:p w14:paraId="29F28AFF">
      <w:pPr>
        <w:shd w:val="clear" w:color="auto" w:fill="auto"/>
        <w:spacing w:line="480" w:lineRule="exact"/>
        <w:ind w:firstLine="420" w:firstLineChars="200"/>
        <w:rPr>
          <w:rFonts w:hint="eastAsia" w:ascii="宋体" w:hAnsi="宋体"/>
          <w:highlight w:val="none"/>
        </w:rPr>
      </w:pPr>
    </w:p>
    <w:p w14:paraId="1E809D68">
      <w:pPr>
        <w:shd w:val="clear" w:color="auto" w:fill="auto"/>
        <w:spacing w:line="480" w:lineRule="exact"/>
        <w:ind w:firstLine="420" w:firstLineChars="200"/>
        <w:rPr>
          <w:rFonts w:hint="eastAsia" w:ascii="宋体" w:hAnsi="宋体"/>
          <w:highlight w:val="none"/>
        </w:rPr>
      </w:pPr>
    </w:p>
    <w:p w14:paraId="4FE22419">
      <w:pPr>
        <w:shd w:val="clear" w:color="auto" w:fill="auto"/>
        <w:spacing w:line="480" w:lineRule="exact"/>
        <w:ind w:firstLine="420" w:firstLineChars="200"/>
        <w:rPr>
          <w:rFonts w:hint="eastAsia" w:ascii="宋体" w:hAnsi="宋体"/>
          <w:highlight w:val="none"/>
        </w:rPr>
      </w:pPr>
    </w:p>
    <w:p w14:paraId="34CF8CC7">
      <w:pPr>
        <w:shd w:val="clear" w:color="auto" w:fill="auto"/>
        <w:spacing w:line="480" w:lineRule="exact"/>
        <w:ind w:firstLine="420" w:firstLineChars="200"/>
        <w:rPr>
          <w:rFonts w:hint="eastAsia" w:ascii="宋体" w:hAnsi="宋体"/>
          <w:highlight w:val="none"/>
        </w:rPr>
      </w:pPr>
    </w:p>
    <w:p w14:paraId="378C75C5">
      <w:pPr>
        <w:shd w:val="clear" w:color="auto" w:fill="auto"/>
        <w:spacing w:line="480" w:lineRule="exact"/>
        <w:ind w:firstLine="420" w:firstLineChars="200"/>
        <w:rPr>
          <w:rFonts w:hint="eastAsia" w:ascii="宋体" w:hAnsi="宋体"/>
          <w:highlight w:val="none"/>
        </w:rPr>
      </w:pPr>
    </w:p>
    <w:p w14:paraId="50E2579B">
      <w:pPr>
        <w:shd w:val="clear" w:color="auto" w:fill="auto"/>
        <w:spacing w:line="480" w:lineRule="exact"/>
        <w:rPr>
          <w:rFonts w:hint="eastAsia" w:ascii="宋体" w:hAnsi="宋体"/>
          <w:highlight w:val="none"/>
        </w:rPr>
      </w:pPr>
    </w:p>
    <w:p w14:paraId="2029C7A6">
      <w:pPr>
        <w:pStyle w:val="4"/>
        <w:shd w:val="clear" w:color="auto" w:fill="auto"/>
        <w:spacing w:before="120" w:after="120" w:line="480" w:lineRule="exact"/>
        <w:jc w:val="center"/>
        <w:rPr>
          <w:rFonts w:hint="eastAsia"/>
          <w:b w:val="0"/>
          <w:sz w:val="24"/>
          <w:szCs w:val="24"/>
          <w:highlight w:val="none"/>
        </w:rPr>
      </w:pPr>
      <w:bookmarkStart w:id="43" w:name="_Toc137705867"/>
      <w:bookmarkStart w:id="44" w:name="_Toc19068"/>
      <w:bookmarkStart w:id="45" w:name="_Toc9838"/>
      <w:bookmarkStart w:id="46" w:name="_Toc13018"/>
      <w:bookmarkStart w:id="47" w:name="_Toc27088"/>
      <w:r>
        <w:rPr>
          <w:rFonts w:hint="eastAsia"/>
          <w:b w:val="0"/>
          <w:sz w:val="24"/>
          <w:szCs w:val="24"/>
          <w:highlight w:val="none"/>
        </w:rPr>
        <w:t>第二节采购货物概况</w:t>
      </w:r>
      <w:bookmarkEnd w:id="43"/>
      <w:bookmarkEnd w:id="44"/>
      <w:bookmarkEnd w:id="45"/>
      <w:bookmarkEnd w:id="46"/>
      <w:bookmarkEnd w:id="47"/>
    </w:p>
    <w:p w14:paraId="62288AC0">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一、设备名称：</w:t>
      </w:r>
      <w:r>
        <w:rPr>
          <w:rFonts w:hint="eastAsia" w:ascii="黑体" w:hAnsi="宋体" w:eastAsia="黑体"/>
          <w:highlight w:val="none"/>
          <w:u w:val="single"/>
          <w:lang w:val="en-US" w:eastAsia="zh-CN"/>
        </w:rPr>
        <w:t>高压油泵PTO总成分装线</w:t>
      </w:r>
      <w:r>
        <w:rPr>
          <w:rFonts w:hint="eastAsia" w:ascii="宋体" w:hAnsi="宋体"/>
          <w:highlight w:val="none"/>
        </w:rPr>
        <w:t>（详见下表）</w:t>
      </w:r>
    </w:p>
    <w:p w14:paraId="14D5C623">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二、设备数量：</w:t>
      </w:r>
      <w:r>
        <w:rPr>
          <w:rFonts w:hint="eastAsia"/>
          <w:highlight w:val="none"/>
          <w:u w:val="single"/>
          <w:lang w:val="en-US" w:eastAsia="zh-CN"/>
        </w:rPr>
        <w:t>1</w:t>
      </w:r>
      <w:r>
        <w:rPr>
          <w:rFonts w:hint="eastAsia"/>
          <w:highlight w:val="none"/>
          <w:u w:val="single"/>
        </w:rPr>
        <w:t>套</w:t>
      </w:r>
      <w:r>
        <w:rPr>
          <w:rFonts w:hint="eastAsia" w:ascii="宋体" w:hAnsi="宋体"/>
          <w:highlight w:val="none"/>
        </w:rPr>
        <w:t>（详见下表）</w:t>
      </w:r>
    </w:p>
    <w:p w14:paraId="0FEBC653">
      <w:pPr>
        <w:shd w:val="clear" w:color="auto" w:fill="auto"/>
        <w:spacing w:line="560" w:lineRule="exact"/>
        <w:ind w:firstLine="420" w:firstLineChars="200"/>
        <w:rPr>
          <w:rFonts w:hint="eastAsia" w:ascii="宋体" w:hAnsi="宋体"/>
          <w:highlight w:val="none"/>
        </w:rPr>
      </w:pPr>
      <w:r>
        <w:rPr>
          <w:rFonts w:hint="eastAsia" w:ascii="黑体" w:hAnsi="宋体" w:eastAsia="黑体"/>
          <w:highlight w:val="none"/>
        </w:rPr>
        <w:t>三、分投分中：</w:t>
      </w:r>
      <w:r>
        <w:rPr>
          <w:rFonts w:hint="eastAsia" w:ascii="宋体" w:hAnsi="宋体" w:eastAsia="宋体" w:cs="Times New Roman"/>
          <w:highlight w:val="none"/>
        </w:rPr>
        <w:t>不</w:t>
      </w:r>
      <w:r>
        <w:rPr>
          <w:rFonts w:hint="eastAsia" w:ascii="宋体" w:hAnsi="宋体"/>
          <w:highlight w:val="none"/>
        </w:rPr>
        <w:t>允许。</w:t>
      </w:r>
    </w:p>
    <w:p w14:paraId="3DBE477E">
      <w:pPr>
        <w:widowControl/>
        <w:shd w:val="clear" w:color="auto" w:fill="auto"/>
        <w:jc w:val="center"/>
        <w:rPr>
          <w:rFonts w:ascii="宋体" w:hAnsi="宋体"/>
          <w:highlight w:val="none"/>
        </w:rPr>
      </w:pPr>
      <w:r>
        <w:rPr>
          <w:rFonts w:hint="eastAsia" w:ascii="宋体" w:hAnsi="宋体"/>
          <w:highlight w:val="none"/>
        </w:rPr>
        <w:t>采购货物主要构成一览表</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614"/>
        <w:gridCol w:w="2058"/>
        <w:gridCol w:w="2463"/>
        <w:gridCol w:w="680"/>
        <w:gridCol w:w="1300"/>
        <w:gridCol w:w="961"/>
        <w:gridCol w:w="1034"/>
      </w:tblGrid>
      <w:tr w14:paraId="0FD3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2" w:hRule="atLeast"/>
          <w:jc w:val="center"/>
        </w:trPr>
        <w:tc>
          <w:tcPr>
            <w:tcW w:w="337" w:type="pct"/>
            <w:noWrap w:val="0"/>
            <w:vAlign w:val="center"/>
          </w:tcPr>
          <w:p w14:paraId="5D54D514">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序号</w:t>
            </w:r>
          </w:p>
        </w:tc>
        <w:tc>
          <w:tcPr>
            <w:tcW w:w="1129" w:type="pct"/>
            <w:noWrap w:val="0"/>
            <w:vAlign w:val="center"/>
          </w:tcPr>
          <w:p w14:paraId="502016FF">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设备名称</w:t>
            </w:r>
          </w:p>
        </w:tc>
        <w:tc>
          <w:tcPr>
            <w:tcW w:w="1351" w:type="pct"/>
            <w:noWrap w:val="0"/>
            <w:vAlign w:val="center"/>
          </w:tcPr>
          <w:p w14:paraId="5939B12B">
            <w:pPr>
              <w:widowControl/>
              <w:shd w:val="clear" w:color="auto" w:fill="auto"/>
              <w:snapToGrid w:val="0"/>
              <w:jc w:val="center"/>
              <w:rPr>
                <w:rFonts w:hint="default" w:ascii="宋体" w:hAnsi="宋体" w:eastAsia="宋体" w:cs="宋体"/>
                <w:b/>
                <w:bCs/>
                <w:color w:val="000000"/>
                <w:kern w:val="0"/>
                <w:sz w:val="20"/>
                <w:szCs w:val="20"/>
                <w:highlight w:val="none"/>
                <w:lang w:val="en-US" w:eastAsia="zh-CN"/>
              </w:rPr>
            </w:pPr>
            <w:r>
              <w:rPr>
                <w:rFonts w:hint="eastAsia" w:ascii="宋体" w:hAnsi="宋体" w:cs="宋体"/>
                <w:b/>
                <w:bCs/>
                <w:color w:val="000000"/>
                <w:kern w:val="0"/>
                <w:sz w:val="20"/>
                <w:szCs w:val="20"/>
                <w:highlight w:val="none"/>
                <w:lang w:val="en-US" w:eastAsia="zh-CN"/>
              </w:rPr>
              <w:t>供货内容</w:t>
            </w:r>
          </w:p>
        </w:tc>
        <w:tc>
          <w:tcPr>
            <w:tcW w:w="373" w:type="pct"/>
            <w:noWrap w:val="0"/>
            <w:vAlign w:val="center"/>
          </w:tcPr>
          <w:p w14:paraId="30F51231">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数量</w:t>
            </w:r>
          </w:p>
        </w:tc>
        <w:tc>
          <w:tcPr>
            <w:tcW w:w="713" w:type="pct"/>
            <w:noWrap w:val="0"/>
            <w:vAlign w:val="center"/>
          </w:tcPr>
          <w:p w14:paraId="37C29607">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安装地点/</w:t>
            </w:r>
          </w:p>
          <w:p w14:paraId="08F2C706">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服务对象</w:t>
            </w:r>
          </w:p>
        </w:tc>
        <w:tc>
          <w:tcPr>
            <w:tcW w:w="527" w:type="pct"/>
            <w:noWrap w:val="0"/>
            <w:vAlign w:val="center"/>
          </w:tcPr>
          <w:p w14:paraId="7328D8FD">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供货方式</w:t>
            </w:r>
          </w:p>
        </w:tc>
        <w:tc>
          <w:tcPr>
            <w:tcW w:w="567" w:type="pct"/>
            <w:noWrap w:val="0"/>
            <w:vAlign w:val="center"/>
          </w:tcPr>
          <w:p w14:paraId="567F8944">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备注</w:t>
            </w:r>
          </w:p>
        </w:tc>
      </w:tr>
      <w:tr w14:paraId="4F6D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7" w:type="pct"/>
            <w:noWrap w:val="0"/>
            <w:vAlign w:val="center"/>
          </w:tcPr>
          <w:p w14:paraId="1938A518">
            <w:pPr>
              <w:widowControl/>
              <w:shd w:val="clear" w:color="auto" w:fill="auto"/>
              <w:snapToGrid w:val="0"/>
              <w:jc w:val="center"/>
              <w:rPr>
                <w:rFonts w:hint="eastAsia" w:ascii="宋体" w:hAnsi="宋体"/>
                <w:b/>
                <w:bCs/>
                <w:sz w:val="21"/>
                <w:szCs w:val="21"/>
                <w:highlight w:val="none"/>
              </w:rPr>
            </w:pPr>
            <w:r>
              <w:rPr>
                <w:rFonts w:hint="eastAsia" w:ascii="宋体" w:hAnsi="宋体" w:cs="宋体"/>
                <w:kern w:val="0"/>
                <w:sz w:val="18"/>
                <w:szCs w:val="18"/>
                <w:highlight w:val="none"/>
              </w:rPr>
              <w:t>1</w:t>
            </w:r>
          </w:p>
        </w:tc>
        <w:tc>
          <w:tcPr>
            <w:tcW w:w="1129" w:type="pct"/>
            <w:noWrap w:val="0"/>
            <w:vAlign w:val="center"/>
          </w:tcPr>
          <w:p w14:paraId="7441B47B">
            <w:pPr>
              <w:widowControl/>
              <w:shd w:val="clear" w:color="auto" w:fill="auto"/>
              <w:snapToGrid w:val="0"/>
              <w:jc w:val="center"/>
              <w:rPr>
                <w:rFonts w:hint="eastAsia" w:ascii="宋体" w:hAnsi="宋体" w:eastAsia="宋体"/>
                <w:b/>
                <w:bCs/>
                <w:sz w:val="21"/>
                <w:szCs w:val="21"/>
                <w:highlight w:val="none"/>
                <w:lang w:val="en-US" w:eastAsia="zh-CN"/>
              </w:rPr>
            </w:pPr>
            <w:r>
              <w:rPr>
                <w:rFonts w:hint="eastAsia" w:ascii="宋体" w:hAnsi="宋体" w:eastAsia="宋体" w:cs="宋体"/>
                <w:color w:val="000000"/>
                <w:kern w:val="0"/>
                <w:sz w:val="18"/>
                <w:szCs w:val="18"/>
                <w:highlight w:val="none"/>
                <w:lang w:val="en-US" w:eastAsia="zh-CN" w:bidi="ar-SA"/>
              </w:rPr>
              <w:t>高压油泵PTO总成分装线</w:t>
            </w:r>
          </w:p>
        </w:tc>
        <w:tc>
          <w:tcPr>
            <w:tcW w:w="1351" w:type="pct"/>
            <w:noWrap w:val="0"/>
            <w:vAlign w:val="center"/>
          </w:tcPr>
          <w:p w14:paraId="7DD6F486">
            <w:pPr>
              <w:pStyle w:val="31"/>
              <w:keepNext w:val="0"/>
              <w:keepLines w:val="0"/>
              <w:widowControl/>
              <w:suppressLineNumbers w:val="0"/>
              <w:shd w:val="clear" w:color="auto" w:fill="auto"/>
              <w:kinsoku/>
              <w:wordWrap/>
              <w:overflowPunct/>
              <w:snapToGrid w:val="0"/>
              <w:jc w:val="center"/>
              <w:rPr>
                <w:rFonts w:hint="default" w:ascii="宋体" w:hAnsi="宋体" w:eastAsia="宋体"/>
                <w:b/>
                <w:bCs/>
                <w:sz w:val="18"/>
                <w:szCs w:val="18"/>
                <w:highlight w:val="none"/>
                <w:lang w:val="en-US" w:eastAsia="zh-CN"/>
              </w:rPr>
            </w:pPr>
            <w:r>
              <w:rPr>
                <w:rFonts w:hint="eastAsia" w:ascii="宋体" w:hAnsi="宋体" w:eastAsia="宋体" w:cs="宋体"/>
                <w:color w:val="000000"/>
                <w:sz w:val="18"/>
                <w:szCs w:val="18"/>
                <w:highlight w:val="none"/>
              </w:rPr>
              <w:t>新增</w:t>
            </w:r>
            <w:r>
              <w:rPr>
                <w:rFonts w:hint="eastAsia" w:eastAsia="宋体" w:cs="宋体"/>
                <w:color w:val="000000"/>
                <w:sz w:val="18"/>
                <w:szCs w:val="18"/>
                <w:highlight w:val="none"/>
                <w:lang w:val="en-US" w:eastAsia="zh-CN"/>
              </w:rPr>
              <w:t>高压油泵PTO总成分装线</w:t>
            </w:r>
          </w:p>
        </w:tc>
        <w:tc>
          <w:tcPr>
            <w:tcW w:w="373" w:type="pct"/>
            <w:noWrap w:val="0"/>
            <w:vAlign w:val="center"/>
          </w:tcPr>
          <w:p w14:paraId="2BD4D793">
            <w:pPr>
              <w:widowControl/>
              <w:shd w:val="clear" w:color="auto" w:fill="auto"/>
              <w:snapToGrid w:val="0"/>
              <w:jc w:val="center"/>
              <w:rPr>
                <w:rFonts w:hint="eastAsia" w:ascii="宋体" w:hAnsi="宋体" w:eastAsia="宋体"/>
                <w:b/>
                <w:bCs/>
                <w:sz w:val="18"/>
                <w:szCs w:val="18"/>
                <w:highlight w:val="none"/>
                <w:lang w:val="en-US" w:eastAsia="zh-CN"/>
              </w:rPr>
            </w:pPr>
            <w:r>
              <w:rPr>
                <w:rFonts w:hint="eastAsia" w:ascii="宋体" w:hAnsi="宋体" w:cs="宋体"/>
                <w:kern w:val="0"/>
                <w:sz w:val="18"/>
                <w:szCs w:val="18"/>
                <w:highlight w:val="none"/>
              </w:rPr>
              <w:t>1</w:t>
            </w:r>
            <w:r>
              <w:rPr>
                <w:rFonts w:hint="eastAsia" w:ascii="宋体" w:hAnsi="宋体" w:cs="宋体"/>
                <w:kern w:val="0"/>
                <w:sz w:val="18"/>
                <w:szCs w:val="18"/>
                <w:highlight w:val="none"/>
                <w:lang w:val="en-US" w:eastAsia="zh-CN"/>
              </w:rPr>
              <w:t>套</w:t>
            </w:r>
          </w:p>
        </w:tc>
        <w:tc>
          <w:tcPr>
            <w:tcW w:w="713" w:type="pct"/>
            <w:noWrap w:val="0"/>
            <w:vAlign w:val="center"/>
          </w:tcPr>
          <w:p w14:paraId="2A29301D">
            <w:pPr>
              <w:widowControl/>
              <w:shd w:val="clear" w:color="auto" w:fill="auto"/>
              <w:snapToGrid w:val="0"/>
              <w:jc w:val="center"/>
              <w:rPr>
                <w:rFonts w:hint="eastAsia" w:ascii="宋体" w:hAnsi="宋体"/>
                <w:b/>
                <w:bCs/>
                <w:sz w:val="21"/>
                <w:szCs w:val="21"/>
                <w:highlight w:val="none"/>
              </w:rPr>
            </w:pPr>
            <w:r>
              <w:rPr>
                <w:rFonts w:hint="eastAsia" w:ascii="宋体" w:hAnsi="宋体" w:cs="宋体"/>
                <w:kern w:val="0"/>
                <w:sz w:val="18"/>
                <w:szCs w:val="18"/>
                <w:highlight w:val="none"/>
              </w:rPr>
              <w:t>济南发动机厂</w:t>
            </w:r>
          </w:p>
        </w:tc>
        <w:tc>
          <w:tcPr>
            <w:tcW w:w="527" w:type="pct"/>
            <w:noWrap w:val="0"/>
            <w:vAlign w:val="center"/>
          </w:tcPr>
          <w:p w14:paraId="71358647">
            <w:pPr>
              <w:widowControl/>
              <w:shd w:val="clear" w:color="auto" w:fill="auto"/>
              <w:snapToGrid w:val="0"/>
              <w:spacing w:line="360" w:lineRule="auto"/>
              <w:jc w:val="center"/>
              <w:rPr>
                <w:rFonts w:hint="eastAsia" w:ascii="宋体" w:hAnsi="宋体"/>
                <w:b/>
                <w:bCs/>
                <w:sz w:val="21"/>
                <w:szCs w:val="21"/>
                <w:highlight w:val="none"/>
              </w:rPr>
            </w:pPr>
            <w:r>
              <w:rPr>
                <w:rFonts w:hint="eastAsia" w:ascii="宋体" w:hAnsi="宋体" w:cs="宋体"/>
                <w:kern w:val="0"/>
                <w:sz w:val="18"/>
                <w:szCs w:val="18"/>
                <w:highlight w:val="none"/>
              </w:rPr>
              <w:t>交钥匙</w:t>
            </w:r>
          </w:p>
        </w:tc>
        <w:tc>
          <w:tcPr>
            <w:tcW w:w="567" w:type="pct"/>
            <w:noWrap w:val="0"/>
            <w:vAlign w:val="center"/>
          </w:tcPr>
          <w:p w14:paraId="61C8AED7">
            <w:pPr>
              <w:widowControl/>
              <w:shd w:val="clear" w:color="auto" w:fill="auto"/>
              <w:snapToGrid w:val="0"/>
              <w:spacing w:line="360" w:lineRule="auto"/>
              <w:rPr>
                <w:rFonts w:hint="eastAsia" w:ascii="宋体" w:hAnsi="宋体"/>
                <w:b/>
                <w:bCs/>
                <w:sz w:val="21"/>
                <w:szCs w:val="21"/>
                <w:highlight w:val="none"/>
              </w:rPr>
            </w:pPr>
          </w:p>
        </w:tc>
      </w:tr>
    </w:tbl>
    <w:p w14:paraId="074F16D2">
      <w:pPr>
        <w:shd w:val="clear" w:color="auto" w:fill="auto"/>
        <w:spacing w:line="480" w:lineRule="exact"/>
        <w:ind w:firstLine="420" w:firstLineChars="200"/>
        <w:rPr>
          <w:sz w:val="21"/>
          <w:szCs w:val="21"/>
          <w:highlight w:val="none"/>
        </w:rPr>
      </w:pPr>
      <w:r>
        <w:rPr>
          <w:sz w:val="21"/>
          <w:szCs w:val="21"/>
          <w:highlight w:val="none"/>
        </w:rPr>
        <w:t>备注：</w:t>
      </w:r>
      <w:bookmarkStart w:id="48" w:name="_Toc137705868"/>
    </w:p>
    <w:p w14:paraId="4D5D9CC1">
      <w:pPr>
        <w:shd w:val="clear" w:color="auto" w:fill="auto"/>
        <w:spacing w:line="480" w:lineRule="exact"/>
        <w:ind w:firstLine="420" w:firstLineChars="200"/>
        <w:rPr>
          <w:sz w:val="21"/>
          <w:szCs w:val="21"/>
          <w:highlight w:val="none"/>
        </w:rPr>
      </w:pPr>
      <w:r>
        <w:rPr>
          <w:sz w:val="21"/>
          <w:szCs w:val="21"/>
          <w:highlight w:val="none"/>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59F51B19">
      <w:pPr>
        <w:shd w:val="clear" w:color="auto" w:fill="auto"/>
        <w:spacing w:line="480" w:lineRule="exact"/>
        <w:ind w:firstLine="420" w:firstLineChars="200"/>
        <w:rPr>
          <w:sz w:val="21"/>
          <w:szCs w:val="21"/>
          <w:highlight w:val="none"/>
        </w:rPr>
      </w:pPr>
      <w:r>
        <w:rPr>
          <w:sz w:val="21"/>
          <w:szCs w:val="21"/>
          <w:highlight w:val="none"/>
        </w:rPr>
        <w:t>②.本表“供货方式”指：交钥匙方式——包括设计、制造、运输、安装、调试和验收直到交付使用以及培训等。</w:t>
      </w:r>
    </w:p>
    <w:p w14:paraId="758B1439">
      <w:pPr>
        <w:pStyle w:val="2"/>
        <w:shd w:val="clear" w:color="auto" w:fill="auto"/>
        <w:spacing w:before="120" w:after="120"/>
        <w:jc w:val="center"/>
        <w:rPr>
          <w:rFonts w:hint="eastAsia" w:ascii="黑体" w:eastAsia="黑体"/>
          <w:sz w:val="24"/>
          <w:szCs w:val="24"/>
          <w:highlight w:val="none"/>
        </w:rPr>
      </w:pPr>
      <w:bookmarkStart w:id="49" w:name="_Toc32262"/>
      <w:bookmarkStart w:id="50" w:name="_Toc17328"/>
      <w:r>
        <w:rPr>
          <w:rFonts w:hint="eastAsia" w:ascii="黑体" w:eastAsia="黑体"/>
          <w:sz w:val="24"/>
          <w:szCs w:val="24"/>
          <w:highlight w:val="none"/>
        </w:rPr>
        <w:br w:type="page"/>
      </w:r>
      <w:r>
        <w:rPr>
          <w:rFonts w:hint="eastAsia" w:ascii="黑体" w:eastAsia="黑体"/>
          <w:sz w:val="24"/>
          <w:szCs w:val="24"/>
          <w:highlight w:val="none"/>
        </w:rPr>
        <w:t>第二章技术要求</w:t>
      </w:r>
      <w:bookmarkEnd w:id="48"/>
      <w:bookmarkEnd w:id="49"/>
      <w:bookmarkEnd w:id="50"/>
    </w:p>
    <w:p w14:paraId="4E560FC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一、基本要求</w:t>
      </w:r>
    </w:p>
    <w:p w14:paraId="59BB182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1、投标方所供的设备，必须符合中国最新版的法律、法规和相关标准、规范的要求，符合项目所在地政府有关特殊要求。</w:t>
      </w:r>
    </w:p>
    <w:p w14:paraId="0C4F598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2、投标方所供设备涉及的专利权技术以及知识产权保护的其它技术等，应保证招标方不因此受到任何侵权指控以及实际损失。</w:t>
      </w:r>
    </w:p>
    <w:p w14:paraId="1EF10B5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3、投标方应保证所供设备的先进性、可靠性、经济性和实用性，并为全新设备。</w:t>
      </w:r>
    </w:p>
    <w:p w14:paraId="0F08932C">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4、投标方应满足招标方提出的各项技术要求，必要时应当免费提供技术承诺或担保。</w:t>
      </w:r>
    </w:p>
    <w:p w14:paraId="19C2B173">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5、投标方应保证所供设备为中国公布的非淘汰设备，并为中国指定或规定的主管部门认可的环保型和节能型设备。</w:t>
      </w:r>
    </w:p>
    <w:p w14:paraId="78E626B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6、投标方应保证所供设备的完整性和成套性，能保证设备的正常运行、使用。</w:t>
      </w:r>
    </w:p>
    <w:p w14:paraId="2799A28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7、投标方应对招标方采购的设备所涉及的技术、产能等信息负有保密义务，招标方拥有追究投标方泄密责任的权利；招标方如有需要，投标方应无条件签署保密协议。</w:t>
      </w:r>
    </w:p>
    <w:p w14:paraId="0882D57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8、投标方需提供近三年内项目业绩证明。</w:t>
      </w:r>
    </w:p>
    <w:p w14:paraId="522B637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二、执行标准</w:t>
      </w:r>
    </w:p>
    <w:p w14:paraId="7E87103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1、招标方此处所列标准仅为涉及的主要标准，而且不保证其为最新版执行标准；投标方应当在投标文件中认真予以填写、补充和修改完善。</w:t>
      </w:r>
    </w:p>
    <w:p w14:paraId="257646D7">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2、投标方需要执行的标准，应当以所供设备通过招标方将来组织的最终验收之日开始执行的最新标准。</w:t>
      </w:r>
    </w:p>
    <w:p w14:paraId="470832AC">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6D45DDAA">
      <w:pPr>
        <w:shd w:val="clear" w:color="auto" w:fill="auto"/>
        <w:spacing w:line="360" w:lineRule="exact"/>
        <w:ind w:firstLine="420" w:firstLineChars="200"/>
        <w:rPr>
          <w:rFonts w:hint="eastAsia" w:ascii="宋体" w:hAnsi="宋体"/>
          <w:highlight w:val="none"/>
        </w:rPr>
      </w:pPr>
      <w:r>
        <w:rPr>
          <w:rFonts w:hint="eastAsia" w:ascii="宋体" w:hAnsi="宋体"/>
          <w:highlight w:val="none"/>
        </w:rPr>
        <w:t>4、如果有采用国际标准的货物，其执行标准由投标方提供、招标方确认。</w:t>
      </w:r>
    </w:p>
    <w:p w14:paraId="70284D3E">
      <w:pPr>
        <w:shd w:val="clear" w:color="auto" w:fill="auto"/>
        <w:overflowPunct w:val="0"/>
        <w:spacing w:line="360" w:lineRule="exact"/>
        <w:ind w:firstLine="420" w:firstLineChars="200"/>
        <w:rPr>
          <w:rFonts w:hint="eastAsia" w:ascii="宋体" w:hAnsi="宋体"/>
          <w:highlight w:val="none"/>
        </w:rPr>
      </w:pPr>
      <w:r>
        <w:rPr>
          <w:rFonts w:hint="eastAsia" w:ascii="宋体" w:hAnsi="宋体" w:eastAsia="宋体" w:cs="Times New Roman"/>
          <w:highlight w:val="none"/>
        </w:rPr>
        <w:t>5、涉及的主要标准：</w:t>
      </w:r>
    </w:p>
    <w:tbl>
      <w:tblPr>
        <w:tblStyle w:val="3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625"/>
        <w:gridCol w:w="1897"/>
      </w:tblGrid>
      <w:tr w14:paraId="293C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73323CB1">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序号</w:t>
            </w:r>
          </w:p>
        </w:tc>
        <w:tc>
          <w:tcPr>
            <w:tcW w:w="7036" w:type="dxa"/>
            <w:noWrap w:val="0"/>
            <w:vAlign w:val="center"/>
          </w:tcPr>
          <w:p w14:paraId="79D90C54">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标准名称</w:t>
            </w:r>
          </w:p>
        </w:tc>
        <w:tc>
          <w:tcPr>
            <w:tcW w:w="2014" w:type="dxa"/>
            <w:noWrap w:val="0"/>
            <w:vAlign w:val="center"/>
          </w:tcPr>
          <w:p w14:paraId="5BBB315F">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标准编号</w:t>
            </w:r>
          </w:p>
        </w:tc>
      </w:tr>
      <w:tr w14:paraId="10D5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346A5E16">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w:t>
            </w:r>
          </w:p>
        </w:tc>
        <w:tc>
          <w:tcPr>
            <w:tcW w:w="7036" w:type="dxa"/>
            <w:noWrap w:val="0"/>
            <w:vAlign w:val="center"/>
          </w:tcPr>
          <w:p w14:paraId="6A648216">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《电气装置安装工程电缆线路施工及验收标准》</w:t>
            </w:r>
          </w:p>
        </w:tc>
        <w:tc>
          <w:tcPr>
            <w:tcW w:w="2014" w:type="dxa"/>
            <w:noWrap w:val="0"/>
            <w:vAlign w:val="center"/>
          </w:tcPr>
          <w:p w14:paraId="5BDC37BC">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GB50168-2018</w:t>
            </w:r>
          </w:p>
        </w:tc>
      </w:tr>
      <w:tr w14:paraId="7CB5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4435E564">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2</w:t>
            </w:r>
          </w:p>
        </w:tc>
        <w:tc>
          <w:tcPr>
            <w:tcW w:w="7036" w:type="dxa"/>
            <w:noWrap w:val="0"/>
            <w:vAlign w:val="center"/>
          </w:tcPr>
          <w:p w14:paraId="6F7A37F8">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中国重型汽车有限公司企业标准《设备设施颜色标识》</w:t>
            </w:r>
          </w:p>
        </w:tc>
        <w:tc>
          <w:tcPr>
            <w:tcW w:w="2014" w:type="dxa"/>
            <w:noWrap w:val="0"/>
            <w:vAlign w:val="center"/>
          </w:tcPr>
          <w:p w14:paraId="7AC34422">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Q/ZZ30070-2021</w:t>
            </w:r>
          </w:p>
        </w:tc>
      </w:tr>
      <w:tr w14:paraId="3BE5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77FBA4EB">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3</w:t>
            </w:r>
          </w:p>
        </w:tc>
        <w:tc>
          <w:tcPr>
            <w:tcW w:w="7036" w:type="dxa"/>
            <w:noWrap w:val="0"/>
            <w:vAlign w:val="center"/>
          </w:tcPr>
          <w:p w14:paraId="61114ECB">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机器的安全性防止人体上下肢触及危险区的安全距离</w:t>
            </w:r>
          </w:p>
        </w:tc>
        <w:tc>
          <w:tcPr>
            <w:tcW w:w="2014" w:type="dxa"/>
            <w:noWrap w:val="0"/>
            <w:vAlign w:val="center"/>
          </w:tcPr>
          <w:p w14:paraId="4A38E019">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GB23821-2009</w:t>
            </w:r>
          </w:p>
        </w:tc>
      </w:tr>
      <w:tr w14:paraId="3A46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2A0C68AD">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4</w:t>
            </w:r>
          </w:p>
        </w:tc>
        <w:tc>
          <w:tcPr>
            <w:tcW w:w="7036" w:type="dxa"/>
            <w:noWrap w:val="0"/>
            <w:vAlign w:val="center"/>
          </w:tcPr>
          <w:p w14:paraId="2239F94B">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《工业企业噪声控制设计规范》</w:t>
            </w:r>
          </w:p>
        </w:tc>
        <w:tc>
          <w:tcPr>
            <w:tcW w:w="2014" w:type="dxa"/>
            <w:noWrap w:val="0"/>
            <w:vAlign w:val="center"/>
          </w:tcPr>
          <w:p w14:paraId="3714F49D">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GB/T50087-2013</w:t>
            </w:r>
          </w:p>
        </w:tc>
      </w:tr>
      <w:tr w14:paraId="6875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6998730F">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5</w:t>
            </w:r>
          </w:p>
        </w:tc>
        <w:tc>
          <w:tcPr>
            <w:tcW w:w="7036" w:type="dxa"/>
            <w:noWrap w:val="0"/>
            <w:vAlign w:val="center"/>
          </w:tcPr>
          <w:p w14:paraId="318B3C4D">
            <w:pPr>
              <w:keepNext w:val="0"/>
              <w:keepLines w:val="0"/>
              <w:widowControl/>
              <w:suppressLineNumbers w:val="0"/>
              <w:jc w:val="center"/>
              <w:textAlignment w:val="center"/>
              <w:rPr>
                <w:rFonts w:hint="eastAsia" w:ascii="宋体" w:hAnsi="宋体" w:cs="Microsoft JhengHei Light"/>
                <w:b w:val="0"/>
                <w:bCs w:val="0"/>
                <w:color w:val="00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《工业企业噪声测量规范》</w:t>
            </w:r>
          </w:p>
        </w:tc>
        <w:tc>
          <w:tcPr>
            <w:tcW w:w="2014" w:type="dxa"/>
            <w:noWrap w:val="0"/>
            <w:vAlign w:val="center"/>
          </w:tcPr>
          <w:p w14:paraId="34A48674">
            <w:pPr>
              <w:keepNext w:val="0"/>
              <w:keepLines w:val="0"/>
              <w:widowControl/>
              <w:suppressLineNumbers w:val="0"/>
              <w:jc w:val="center"/>
              <w:textAlignment w:val="center"/>
              <w:rPr>
                <w:rFonts w:hint="eastAsia" w:ascii="宋体" w:hAnsi="宋体" w:cs="Microsoft JhengHei Light"/>
                <w:b w:val="0"/>
                <w:bCs w:val="0"/>
                <w:color w:val="00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GB/T50087-2013</w:t>
            </w:r>
          </w:p>
        </w:tc>
      </w:tr>
      <w:tr w14:paraId="22AE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37C4DE14">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6</w:t>
            </w:r>
          </w:p>
        </w:tc>
        <w:tc>
          <w:tcPr>
            <w:tcW w:w="7036" w:type="dxa"/>
            <w:noWrap w:val="0"/>
            <w:vAlign w:val="center"/>
          </w:tcPr>
          <w:p w14:paraId="724610C9">
            <w:pPr>
              <w:keepNext w:val="0"/>
              <w:keepLines w:val="0"/>
              <w:widowControl/>
              <w:suppressLineNumbers w:val="0"/>
              <w:jc w:val="center"/>
              <w:textAlignment w:val="center"/>
              <w:rPr>
                <w:rFonts w:hint="eastAsia" w:ascii="宋体" w:hAnsi="宋体" w:cs="Microsoft JhengHei Light"/>
                <w:b w:val="0"/>
                <w:bCs w:val="0"/>
                <w:color w:val="00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工作场所物理因素测量 第 1 部分：噪声</w:t>
            </w:r>
          </w:p>
        </w:tc>
        <w:tc>
          <w:tcPr>
            <w:tcW w:w="2014" w:type="dxa"/>
            <w:noWrap w:val="0"/>
            <w:vAlign w:val="center"/>
          </w:tcPr>
          <w:p w14:paraId="633C6537">
            <w:pPr>
              <w:keepNext w:val="0"/>
              <w:keepLines w:val="0"/>
              <w:widowControl/>
              <w:suppressLineNumbers w:val="0"/>
              <w:jc w:val="center"/>
              <w:textAlignment w:val="center"/>
              <w:rPr>
                <w:rFonts w:hint="eastAsia" w:ascii="宋体" w:hAnsi="宋体" w:cs="Microsoft JhengHei Light"/>
                <w:b w:val="0"/>
                <w:bCs w:val="0"/>
                <w:color w:val="00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GBZ/T189.1-2020</w:t>
            </w:r>
          </w:p>
        </w:tc>
      </w:tr>
      <w:tr w14:paraId="49EF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08C004BA">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7</w:t>
            </w:r>
          </w:p>
        </w:tc>
        <w:tc>
          <w:tcPr>
            <w:tcW w:w="7036" w:type="dxa"/>
            <w:noWrap w:val="0"/>
            <w:vAlign w:val="center"/>
          </w:tcPr>
          <w:p w14:paraId="56CB76B5">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《通信电源设备安装工程设计规范》</w:t>
            </w:r>
          </w:p>
        </w:tc>
        <w:tc>
          <w:tcPr>
            <w:tcW w:w="2014" w:type="dxa"/>
            <w:noWrap w:val="0"/>
            <w:vAlign w:val="center"/>
          </w:tcPr>
          <w:p w14:paraId="1C8B94D5">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YD/T5040-2005</w:t>
            </w:r>
          </w:p>
        </w:tc>
      </w:tr>
      <w:tr w14:paraId="2EA1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4E98D7AD">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8</w:t>
            </w:r>
          </w:p>
        </w:tc>
        <w:tc>
          <w:tcPr>
            <w:tcW w:w="7036" w:type="dxa"/>
            <w:noWrap w:val="0"/>
            <w:vAlign w:val="center"/>
          </w:tcPr>
          <w:p w14:paraId="1AFC43EE">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《电气装置安装工程 电力变压器、油浸电抗器、互感器施工及验收规范》</w:t>
            </w:r>
          </w:p>
        </w:tc>
        <w:tc>
          <w:tcPr>
            <w:tcW w:w="2014" w:type="dxa"/>
            <w:noWrap w:val="0"/>
            <w:vAlign w:val="center"/>
          </w:tcPr>
          <w:p w14:paraId="283C5992">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GB50148-2010</w:t>
            </w:r>
          </w:p>
        </w:tc>
      </w:tr>
      <w:tr w14:paraId="110D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3A8D9926">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9</w:t>
            </w:r>
          </w:p>
        </w:tc>
        <w:tc>
          <w:tcPr>
            <w:tcW w:w="7036" w:type="dxa"/>
            <w:noWrap w:val="0"/>
            <w:vAlign w:val="center"/>
          </w:tcPr>
          <w:p w14:paraId="3E2F34AB">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《电气装置安装工程电缆线路施工及验收标准》</w:t>
            </w:r>
          </w:p>
        </w:tc>
        <w:tc>
          <w:tcPr>
            <w:tcW w:w="2014" w:type="dxa"/>
            <w:noWrap w:val="0"/>
            <w:vAlign w:val="center"/>
          </w:tcPr>
          <w:p w14:paraId="0203A505">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GB50168-2018</w:t>
            </w:r>
          </w:p>
        </w:tc>
      </w:tr>
      <w:tr w14:paraId="2ADE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6C776574">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10</w:t>
            </w:r>
          </w:p>
        </w:tc>
        <w:tc>
          <w:tcPr>
            <w:tcW w:w="7036" w:type="dxa"/>
            <w:noWrap w:val="0"/>
            <w:vAlign w:val="center"/>
          </w:tcPr>
          <w:p w14:paraId="729788D6">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《可编程序控制器 第 3 部分：编程语言》</w:t>
            </w:r>
          </w:p>
        </w:tc>
        <w:tc>
          <w:tcPr>
            <w:tcW w:w="2014" w:type="dxa"/>
            <w:noWrap w:val="0"/>
            <w:vAlign w:val="center"/>
          </w:tcPr>
          <w:p w14:paraId="5F0781DD">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IEC61131-3:2025</w:t>
            </w:r>
          </w:p>
        </w:tc>
      </w:tr>
      <w:tr w14:paraId="4B1A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72297AA1">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11</w:t>
            </w:r>
          </w:p>
        </w:tc>
        <w:tc>
          <w:tcPr>
            <w:tcW w:w="7036" w:type="dxa"/>
            <w:noWrap w:val="0"/>
            <w:vAlign w:val="center"/>
          </w:tcPr>
          <w:p w14:paraId="57F8A5D1">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《软件生存周期过程》</w:t>
            </w:r>
          </w:p>
        </w:tc>
        <w:tc>
          <w:tcPr>
            <w:tcW w:w="2014" w:type="dxa"/>
            <w:noWrap w:val="0"/>
            <w:vAlign w:val="center"/>
          </w:tcPr>
          <w:p w14:paraId="6A9DD077">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GB/T8566-2022</w:t>
            </w:r>
          </w:p>
        </w:tc>
      </w:tr>
      <w:tr w14:paraId="1967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3DF27757">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12</w:t>
            </w:r>
          </w:p>
        </w:tc>
        <w:tc>
          <w:tcPr>
            <w:tcW w:w="7036" w:type="dxa"/>
            <w:noWrap w:val="0"/>
            <w:vAlign w:val="center"/>
          </w:tcPr>
          <w:p w14:paraId="158B0923">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《机械设备安装工程施工及验收通用规范》</w:t>
            </w:r>
          </w:p>
        </w:tc>
        <w:tc>
          <w:tcPr>
            <w:tcW w:w="2014" w:type="dxa"/>
            <w:noWrap w:val="0"/>
            <w:vAlign w:val="center"/>
          </w:tcPr>
          <w:p w14:paraId="006906FD">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GB50231-2009</w:t>
            </w:r>
          </w:p>
        </w:tc>
      </w:tr>
      <w:tr w14:paraId="5FCC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51337DE8">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13</w:t>
            </w:r>
          </w:p>
        </w:tc>
        <w:tc>
          <w:tcPr>
            <w:tcW w:w="7036" w:type="dxa"/>
            <w:noWrap w:val="0"/>
            <w:vAlign w:val="center"/>
          </w:tcPr>
          <w:p w14:paraId="7DCCF1F4">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《人机界面标志标识的基本和安全规则 导体颜色或字母数字标识》</w:t>
            </w:r>
          </w:p>
        </w:tc>
        <w:tc>
          <w:tcPr>
            <w:tcW w:w="2014" w:type="dxa"/>
            <w:noWrap w:val="0"/>
            <w:vAlign w:val="center"/>
          </w:tcPr>
          <w:p w14:paraId="5F6A200F">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GB/T7947-2010</w:t>
            </w:r>
          </w:p>
        </w:tc>
      </w:tr>
      <w:tr w14:paraId="0347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65E10C92">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14</w:t>
            </w:r>
          </w:p>
        </w:tc>
        <w:tc>
          <w:tcPr>
            <w:tcW w:w="7036" w:type="dxa"/>
            <w:noWrap w:val="0"/>
            <w:vAlign w:val="center"/>
          </w:tcPr>
          <w:p w14:paraId="624CCD22">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《人机界面标志标识的基本和安全规则 指示器和操作器的编码规则》</w:t>
            </w:r>
          </w:p>
        </w:tc>
        <w:tc>
          <w:tcPr>
            <w:tcW w:w="2014" w:type="dxa"/>
            <w:noWrap w:val="0"/>
            <w:vAlign w:val="center"/>
          </w:tcPr>
          <w:p w14:paraId="3BAC05F6">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GB/T4025-2010</w:t>
            </w:r>
          </w:p>
        </w:tc>
      </w:tr>
      <w:tr w14:paraId="7E4D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1A741534">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15</w:t>
            </w:r>
          </w:p>
        </w:tc>
        <w:tc>
          <w:tcPr>
            <w:tcW w:w="7036" w:type="dxa"/>
            <w:noWrap w:val="0"/>
            <w:vAlign w:val="center"/>
          </w:tcPr>
          <w:p w14:paraId="2EB77799">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机械设备防护罩安全标准</w:t>
            </w:r>
          </w:p>
        </w:tc>
        <w:tc>
          <w:tcPr>
            <w:tcW w:w="2014" w:type="dxa"/>
            <w:noWrap w:val="0"/>
            <w:vAlign w:val="center"/>
          </w:tcPr>
          <w:p w14:paraId="28438877">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GB8196-2003</w:t>
            </w:r>
          </w:p>
        </w:tc>
      </w:tr>
    </w:tbl>
    <w:p w14:paraId="71B162D9">
      <w:pPr>
        <w:keepNext w:val="0"/>
        <w:keepLines w:val="0"/>
        <w:pageBreakBefore w:val="0"/>
        <w:widowControl w:val="0"/>
        <w:numPr>
          <w:ilvl w:val="0"/>
          <w:numId w:val="11"/>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技术规范和技术要求</w:t>
      </w:r>
    </w:p>
    <w:p w14:paraId="7A1A7971">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1、总体工艺要求</w:t>
      </w:r>
    </w:p>
    <w:p w14:paraId="60419371">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（1）基本要求</w:t>
      </w:r>
    </w:p>
    <w:p w14:paraId="52ABC607">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高压油泵 PTO 总成分装线整体生产节拍需控制在120 秒/台以内，满足现场连续化、高效率生产需求；产线需具备11种图号产品柔性适配能力（分为CP3.4、CB28、CB6及气体机四大类），可实现不同规格高压油泵 PTO 总成的快速切换生产，换型操作简便高效，有效提升产线通用化与柔性化水平。生产全流程需严格遵循质量管控标准，依托全工序数据采集、过程实时监控、关键工艺参数闭环管控等方式，全面满足产品制造质量控制及批次追溯要求，保障成品装配精度与整体品质。项目施工及设备调试实施阶段，若双方就施工范围、技术标准、安装工艺等内容产生争议问题，由甲乙双方友好沟通协商确定解决方案，最终由施工方根据协商共识完成对应整改优化工作，确保项目按技术要求顺利落地交付。</w:t>
      </w:r>
    </w:p>
    <w:p w14:paraId="2671DBE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w:t>
      </w:r>
      <w:r>
        <w:rPr>
          <w:rFonts w:hint="eastAsia" w:ascii="宋体" w:hAnsi="宋体" w:eastAsia="宋体" w:cs="Times New Roman"/>
          <w:highlight w:val="none"/>
          <w:lang w:val="en-US" w:eastAsia="zh-CN"/>
        </w:rPr>
        <w:t>2</w:t>
      </w:r>
      <w:r>
        <w:rPr>
          <w:rFonts w:hint="eastAsia" w:ascii="宋体" w:hAnsi="宋体" w:eastAsia="宋体" w:cs="Times New Roman"/>
          <w:highlight w:val="none"/>
        </w:rPr>
        <w:t>）数据追溯</w:t>
      </w:r>
    </w:p>
    <w:p w14:paraId="5A6E888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每颗螺栓的拧紧过程数据（包括但不限于目标扭矩、实际扭矩、拧紧时间、结果状态OK/NOK、拧紧曲线）必须被完整记录。数据需通过对应接口按甲方规范上传至指定数据库，并至少在本机控制器内存储超过100,000个拧</w:t>
      </w:r>
      <w:r>
        <w:rPr>
          <w:rFonts w:hint="eastAsia" w:ascii="宋体" w:hAnsi="宋体" w:eastAsia="宋体" w:cs="Times New Roman"/>
          <w:highlight w:val="none"/>
          <w:lang w:val="en-US" w:eastAsia="zh-CN"/>
        </w:rPr>
        <w:t>紧</w:t>
      </w:r>
      <w:r>
        <w:rPr>
          <w:rFonts w:hint="eastAsia" w:ascii="宋体" w:hAnsi="宋体" w:eastAsia="宋体" w:cs="Times New Roman"/>
          <w:highlight w:val="none"/>
        </w:rPr>
        <w:t>。读码器扫描数据需</w:t>
      </w:r>
      <w:r>
        <w:rPr>
          <w:rFonts w:hint="eastAsia" w:ascii="宋体" w:hAnsi="宋体" w:eastAsia="宋体" w:cs="Times New Roman"/>
          <w:highlight w:val="none"/>
          <w:lang w:val="en-US" w:eastAsia="zh-CN"/>
        </w:rPr>
        <w:t>上传至甲方指定数据库</w:t>
      </w:r>
      <w:r>
        <w:rPr>
          <w:rFonts w:hint="eastAsia" w:ascii="宋体" w:hAnsi="宋体" w:eastAsia="宋体" w:cs="Times New Roman"/>
          <w:highlight w:val="none"/>
        </w:rPr>
        <w:t>与工件信息、工序数据绑定，实现全流程追溯。</w:t>
      </w:r>
    </w:p>
    <w:p w14:paraId="1A33E0E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w:t>
      </w:r>
      <w:r>
        <w:rPr>
          <w:rFonts w:hint="eastAsia" w:ascii="宋体" w:hAnsi="宋体" w:eastAsia="宋体" w:cs="Times New Roman"/>
          <w:highlight w:val="none"/>
          <w:lang w:val="en-US" w:eastAsia="zh-CN"/>
        </w:rPr>
        <w:t>3</w:t>
      </w:r>
      <w:r>
        <w:rPr>
          <w:rFonts w:hint="eastAsia" w:ascii="宋体" w:hAnsi="宋体" w:eastAsia="宋体" w:cs="Times New Roman"/>
          <w:highlight w:val="none"/>
        </w:rPr>
        <w:t>）人机交互</w:t>
      </w:r>
    </w:p>
    <w:p w14:paraId="1D344C1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配备工控机用于采集拧紧设备、激光打标机等各类设备的运行结果及信息化系统数据，实现数据集中管理与展示。</w:t>
      </w:r>
    </w:p>
    <w:p w14:paraId="02DF693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每台主要设备（拧紧设备、激光打标机等）需配备清晰的三色灯（绿-OK，黄-警告/工作中，红-NOK/故障）和声光报警器，实时反馈设备运行状态及工序完成情况。</w:t>
      </w:r>
    </w:p>
    <w:p w14:paraId="5162985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各工序操作台、设备需配备便捷的操作按钮（启动、停止、急停、阻挡等），操作逻辑清晰，便于操作人员作业。</w:t>
      </w:r>
    </w:p>
    <w:p w14:paraId="07B5565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w:t>
      </w:r>
      <w:r>
        <w:rPr>
          <w:rFonts w:hint="eastAsia" w:ascii="宋体" w:hAnsi="宋体" w:eastAsia="宋体" w:cs="Times New Roman"/>
          <w:highlight w:val="none"/>
          <w:lang w:val="en-US" w:eastAsia="zh-CN"/>
        </w:rPr>
        <w:t>4</w:t>
      </w:r>
      <w:r>
        <w:rPr>
          <w:rFonts w:hint="eastAsia" w:ascii="宋体" w:hAnsi="宋体" w:eastAsia="宋体" w:cs="Times New Roman"/>
          <w:highlight w:val="none"/>
        </w:rPr>
        <w:t>）安全规范</w:t>
      </w:r>
    </w:p>
    <w:p w14:paraId="0765D7F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所有设备需具备紧急停止按钮，并符合国家及行业安全标准，确保突发情况下可快速停机。</w:t>
      </w:r>
    </w:p>
    <w:p w14:paraId="608C342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电气系统需有可靠的接地和短路保护，避免电气故障引发安全隐患；气动设备需具备稳定的气源处理，防止气压异常导致设备误动作。</w:t>
      </w:r>
    </w:p>
    <w:p w14:paraId="61F8A9D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搬运相关设备需具备断电/断气自锁与机械防坠保护功能；各工序工装需具备防磕碰、防倾倒、防脱落设计，工件定位牢固，避免作业过程中工件滑落或损坏。</w:t>
      </w:r>
    </w:p>
    <w:p w14:paraId="60B0689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w:t>
      </w:r>
      <w:r>
        <w:rPr>
          <w:rFonts w:hint="eastAsia" w:ascii="宋体" w:hAnsi="宋体" w:eastAsia="宋体" w:cs="Times New Roman"/>
          <w:highlight w:val="none"/>
          <w:lang w:val="en-US" w:eastAsia="zh-CN"/>
        </w:rPr>
        <w:t>5</w:t>
      </w:r>
      <w:r>
        <w:rPr>
          <w:rFonts w:hint="eastAsia" w:ascii="宋体" w:hAnsi="宋体" w:eastAsia="宋体" w:cs="Times New Roman"/>
          <w:highlight w:val="none"/>
        </w:rPr>
        <w:t>）现场工艺布局</w:t>
      </w:r>
    </w:p>
    <w:p w14:paraId="71B5E3E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现场布局长</w:t>
      </w:r>
      <w:r>
        <w:rPr>
          <w:rFonts w:hint="eastAsia" w:ascii="宋体" w:hAnsi="宋体" w:eastAsia="宋体" w:cs="Times New Roman"/>
          <w:highlight w:val="none"/>
          <w:lang w:val="en-US" w:eastAsia="zh-CN"/>
        </w:rPr>
        <w:t>7.5</w:t>
      </w:r>
      <w:r>
        <w:rPr>
          <w:rFonts w:hint="eastAsia" w:ascii="宋体" w:hAnsi="宋体" w:eastAsia="宋体" w:cs="Times New Roman"/>
          <w:highlight w:val="none"/>
        </w:rPr>
        <w:t>m，宽</w:t>
      </w:r>
      <w:r>
        <w:rPr>
          <w:rFonts w:hint="eastAsia" w:ascii="宋体" w:hAnsi="宋体" w:eastAsia="宋体" w:cs="Times New Roman"/>
          <w:highlight w:val="none"/>
          <w:lang w:val="en-US" w:eastAsia="zh-CN"/>
        </w:rPr>
        <w:t>7</w:t>
      </w:r>
      <w:r>
        <w:rPr>
          <w:rFonts w:hint="eastAsia" w:ascii="宋体" w:hAnsi="宋体" w:eastAsia="宋体" w:cs="Times New Roman"/>
          <w:highlight w:val="none"/>
        </w:rPr>
        <w:t>.5m，分为OP10-OP50五个主要工序。</w:t>
      </w:r>
    </w:p>
    <w:p w14:paraId="344D4CC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作业内容如下：</w:t>
      </w:r>
    </w:p>
    <w:p w14:paraId="153A8D87">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OP10 驱动壳体打二维码，压装圆柱销和定位轴套，装发电机支架，</w:t>
      </w:r>
    </w:p>
    <w:p w14:paraId="5C71528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 xml:space="preserve">OP20 </w:t>
      </w:r>
      <w:r>
        <w:rPr>
          <w:rFonts w:hint="eastAsia" w:ascii="宋体" w:hAnsi="宋体" w:eastAsia="宋体" w:cs="Times New Roman"/>
          <w:highlight w:val="none"/>
          <w:lang w:val="en-US" w:eastAsia="zh-CN"/>
        </w:rPr>
        <w:t>自动</w:t>
      </w:r>
      <w:r>
        <w:rPr>
          <w:rFonts w:hint="eastAsia" w:ascii="宋体" w:hAnsi="宋体" w:eastAsia="宋体" w:cs="Times New Roman"/>
          <w:highlight w:val="none"/>
        </w:rPr>
        <w:t>压装驱动壳体油封，</w:t>
      </w:r>
    </w:p>
    <w:p w14:paraId="5AB4FD4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OP30 安装并拧紧齿轮、驱动轴，</w:t>
      </w:r>
    </w:p>
    <w:p w14:paraId="5A9E8CE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OP40 装皮带轮/解耦器，</w:t>
      </w:r>
    </w:p>
    <w:p w14:paraId="6F431A3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 xml:space="preserve">OP50 </w:t>
      </w:r>
      <w:r>
        <w:rPr>
          <w:rFonts w:hint="eastAsia" w:ascii="宋体" w:hAnsi="宋体" w:eastAsia="宋体" w:cs="Times New Roman"/>
          <w:highlight w:val="none"/>
          <w:lang w:val="en-US" w:eastAsia="zh-CN"/>
        </w:rPr>
        <w:t>自动</w:t>
      </w:r>
      <w:r>
        <w:rPr>
          <w:rFonts w:hint="eastAsia" w:ascii="宋体" w:hAnsi="宋体" w:eastAsia="宋体" w:cs="Times New Roman"/>
          <w:highlight w:val="none"/>
        </w:rPr>
        <w:t>拧紧皮带轮螺栓。</w:t>
      </w:r>
    </w:p>
    <w:p w14:paraId="628C4819">
      <w:pPr>
        <w:shd w:val="clear" w:color="auto" w:fill="auto"/>
        <w:spacing w:line="480" w:lineRule="exact"/>
        <w:ind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需保证各工序在机器人失效时仍可人工介入保证生成。</w:t>
      </w:r>
      <w:r>
        <w:rPr>
          <w:rFonts w:hint="eastAsia" w:ascii="宋体" w:hAnsi="宋体" w:eastAsia="宋体" w:cs="Times New Roman"/>
          <w:highlight w:val="none"/>
          <w:lang w:eastAsia="zh-CN"/>
        </w:rPr>
        <w:t>）</w:t>
      </w:r>
    </w:p>
    <w:p w14:paraId="2C699144">
      <w:pPr>
        <w:shd w:val="clear" w:color="auto" w:fill="auto"/>
        <w:spacing w:line="480" w:lineRule="exact"/>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lang w:val="en-US" w:eastAsia="zh-CN"/>
        </w:rPr>
        <w:t>布局示意图如下：</w:t>
      </w:r>
    </w:p>
    <w:p w14:paraId="62CB3877">
      <w:pPr>
        <w:shd w:val="clear" w:color="auto" w:fill="auto"/>
        <w:spacing w:line="480" w:lineRule="exact"/>
        <w:ind w:firstLine="420" w:firstLineChars="200"/>
        <w:rPr>
          <w:rFonts w:hint="eastAsia" w:ascii="宋体" w:hAnsi="宋体" w:eastAsia="宋体" w:cs="Times New Roman"/>
          <w:highlight w:val="none"/>
        </w:rPr>
      </w:pPr>
    </w:p>
    <w:p w14:paraId="29479E07">
      <w:pPr>
        <w:shd w:val="clear" w:color="auto" w:fill="auto"/>
        <w:spacing w:line="480" w:lineRule="exact"/>
        <w:ind w:firstLine="420" w:firstLineChars="200"/>
        <w:rPr>
          <w:rFonts w:hint="eastAsia" w:ascii="宋体" w:hAnsi="宋体" w:eastAsia="宋体" w:cs="Times New Roman"/>
          <w:highlight w:val="none"/>
        </w:rPr>
      </w:pPr>
    </w:p>
    <w:p w14:paraId="22D48FEA">
      <w:pPr>
        <w:shd w:val="clear" w:color="auto" w:fill="auto"/>
        <w:spacing w:line="480" w:lineRule="exact"/>
        <w:ind w:firstLine="420" w:firstLineChars="200"/>
        <w:rPr>
          <w:rFonts w:hint="eastAsia" w:ascii="宋体" w:hAnsi="宋体" w:eastAsia="宋体" w:cs="Times New Roman"/>
          <w:highlight w:val="none"/>
        </w:rPr>
      </w:pPr>
    </w:p>
    <w:p w14:paraId="05A908AA">
      <w:pPr>
        <w:shd w:val="clear" w:color="auto" w:fill="auto"/>
        <w:spacing w:line="480" w:lineRule="exact"/>
        <w:ind w:firstLine="420" w:firstLineChars="200"/>
        <w:jc w:val="center"/>
        <w:rPr>
          <w:rFonts w:hint="eastAsia" w:ascii="宋体" w:hAnsi="宋体" w:eastAsia="宋体" w:cs="Times New Roman"/>
          <w:highlight w:val="none"/>
        </w:rPr>
      </w:pPr>
      <w:r>
        <w:drawing>
          <wp:anchor distT="0" distB="0" distL="114300" distR="114300" simplePos="0" relativeHeight="251659264" behindDoc="0" locked="0" layoutInCell="1" allowOverlap="1">
            <wp:simplePos x="0" y="0"/>
            <wp:positionH relativeFrom="column">
              <wp:posOffset>969010</wp:posOffset>
            </wp:positionH>
            <wp:positionV relativeFrom="paragraph">
              <wp:posOffset>33020</wp:posOffset>
            </wp:positionV>
            <wp:extent cx="3517900" cy="3427730"/>
            <wp:effectExtent l="0" t="0" r="2540" b="127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40"/>
                    <a:stretch>
                      <a:fillRect/>
                    </a:stretch>
                  </pic:blipFill>
                  <pic:spPr>
                    <a:xfrm>
                      <a:off x="0" y="0"/>
                      <a:ext cx="3517900" cy="3427730"/>
                    </a:xfrm>
                    <a:prstGeom prst="rect">
                      <a:avLst/>
                    </a:prstGeom>
                    <a:noFill/>
                    <a:ln>
                      <a:noFill/>
                    </a:ln>
                  </pic:spPr>
                </pic:pic>
              </a:graphicData>
            </a:graphic>
          </wp:anchor>
        </w:drawing>
      </w:r>
      <w:r>
        <w:rPr>
          <w:rFonts w:hint="eastAsia" w:ascii="宋体" w:hAnsi="宋体" w:eastAsia="宋体" w:cs="Times New Roman"/>
          <w:highlight w:val="none"/>
          <w:lang w:val="en-US" w:eastAsia="zh-CN"/>
        </w:rPr>
        <w:t>分装线布局示意图</w:t>
      </w:r>
    </w:p>
    <w:p w14:paraId="0DDD372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2、详细要求与配置</w:t>
      </w:r>
    </w:p>
    <w:p w14:paraId="10A01C0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（1）OP10 驱动壳体二维码打印、圆柱销/定位轴套压装及发电机支架装配设备</w:t>
      </w:r>
    </w:p>
    <w:p w14:paraId="34F4B68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驱动壳体二维码打刻、圆柱销与定位轴套手动压装、发电机支架装配及螺栓拧紧作业；需新增操作台，激光打标机、手动压装机（手动杠杆）相邻摆放于操作台（包含物理限位防磕碰）上，下方通过滑轨固定驱动壳体总成定位销压装夹具，实现打刻机与手动压装机间的快速切换；新增气动油压脉冲扳手用于打紧发电机支架螺栓。激光打标机、手动压装机间滑台定位需定位精准，具备增加机器人自动上料集成的升级能力。</w:t>
      </w:r>
    </w:p>
    <w:p w14:paraId="7566EE6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4E035F54">
      <w:pPr>
        <w:shd w:val="clear" w:color="auto" w:fill="auto"/>
        <w:spacing w:line="480" w:lineRule="exact"/>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rPr>
        <w:t>工步1：驱动壳体原包装中取料放置到激光打标机下方驱动壳体总成定位销压装夹具，</w:t>
      </w:r>
      <w:r>
        <w:rPr>
          <w:rFonts w:hint="eastAsia" w:ascii="宋体" w:hAnsi="宋体" w:eastAsia="宋体" w:cs="Times New Roman"/>
          <w:highlight w:val="none"/>
          <w:lang w:val="en-US" w:eastAsia="zh-CN"/>
        </w:rPr>
        <w:t>在激光打刻机上位机选取打刻模板后</w:t>
      </w:r>
      <w:r>
        <w:rPr>
          <w:rFonts w:hint="eastAsia" w:ascii="宋体" w:hAnsi="宋体" w:eastAsia="宋体" w:cs="Times New Roman"/>
          <w:highlight w:val="none"/>
        </w:rPr>
        <w:t>点击开始按钮后，激光打标机</w:t>
      </w:r>
      <w:r>
        <w:rPr>
          <w:rFonts w:hint="eastAsia" w:ascii="宋体" w:hAnsi="宋体" w:eastAsia="宋体" w:cs="Times New Roman"/>
          <w:highlight w:val="none"/>
          <w:lang w:val="en-US" w:eastAsia="zh-CN"/>
        </w:rPr>
        <w:t>上位机自动编写工件流水号</w:t>
      </w:r>
      <w:r>
        <w:rPr>
          <w:rFonts w:hint="eastAsia" w:ascii="宋体" w:hAnsi="宋体" w:eastAsia="宋体" w:cs="Times New Roman"/>
          <w:highlight w:val="none"/>
        </w:rPr>
        <w:t>，打刻Date Matrix点阵式二维码，内容为9位物料号+“2”（标注位，“2”代表单件）+12位流水号，打刻内容清晰、可永久追溯</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打刻内容通过上位机上传至</w:t>
      </w:r>
      <w:r>
        <w:rPr>
          <w:rFonts w:hint="eastAsia" w:ascii="宋体" w:hAnsi="宋体" w:eastAsia="宋体" w:cs="Times New Roman"/>
          <w:highlight w:val="none"/>
        </w:rPr>
        <w:t>甲方</w:t>
      </w:r>
      <w:r>
        <w:rPr>
          <w:rFonts w:hint="eastAsia" w:ascii="宋体" w:hAnsi="宋体" w:eastAsia="宋体" w:cs="Times New Roman"/>
          <w:highlight w:val="none"/>
          <w:lang w:val="en-US" w:eastAsia="zh-CN"/>
        </w:rPr>
        <w:t>指定数据库。</w:t>
      </w:r>
    </w:p>
    <w:p w14:paraId="0CE5853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工步2：将驱动壳体总成定位销压装夹具通过滑轨移动至手动压装机下方，依次压装圆柱销和定位轴套，确保压装到位、无歪斜。</w:t>
      </w:r>
    </w:p>
    <w:p w14:paraId="1D28C50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工步3：取发电机支架与固定螺栓，手动将其松装至驱动壳体对应位置，使用气动油压脉冲扳手打紧支架螺栓，拧紧完成后使用油漆笔漆标，标记合格状态。</w:t>
      </w:r>
    </w:p>
    <w:p w14:paraId="28E1009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换型能力：定位夹具需具备适配性，可兼容所有在用驱动壳体型号，切换便捷，不影响工序效率。</w:t>
      </w:r>
    </w:p>
    <w:p w14:paraId="65724DD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信息采集：激光打标机需与信息化系统通讯，接收流水号及二维码内容，并反馈打刻完成状态。</w:t>
      </w:r>
    </w:p>
    <w:p w14:paraId="3F74BEB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18AF403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① 操作台：1台，用于安装激光打标机、手动压装机，台面需平整、稳固，预留滑轨安装位置，适配现场作业空间，物料缓冲区增加限位，防止工件间磕碰。</w:t>
      </w:r>
    </w:p>
    <w:p w14:paraId="09816A01">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② 激光打标机：1台，光纤或紫外激光器，功率≥</w:t>
      </w:r>
      <w:r>
        <w:rPr>
          <w:rFonts w:hint="eastAsia" w:ascii="宋体" w:hAnsi="宋体" w:eastAsia="宋体" w:cs="Times New Roman"/>
          <w:highlight w:val="none"/>
          <w:lang w:val="en-US" w:eastAsia="zh-CN"/>
        </w:rPr>
        <w:t>3</w:t>
      </w:r>
      <w:r>
        <w:rPr>
          <w:rFonts w:hint="eastAsia" w:ascii="宋体" w:hAnsi="宋体" w:eastAsia="宋体" w:cs="Times New Roman"/>
          <w:highlight w:val="none"/>
        </w:rPr>
        <w:t>0W，打刻范围≥100mm×100mm，配备适配驱动壳体的定位结构，带烟尘净化器（新增，用于OP10工序激光打标烟尘处理，确保现场环境达标），具备与工控机通讯接口（Ethernet/RS232），品牌推荐大族、华工、IPG或同等，确保二维码打刻精度及清晰度，码制符合Date Matrix点阵式要求。</w:t>
      </w:r>
    </w:p>
    <w:p w14:paraId="22184F4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③ 手动压装机：1台，手动杠杆式，配备适配圆柱销、定位轴套的压头，操作轻便，压装力可控，加装可实时显示压力的压力传感器，实时反馈压装压力，确保压装到位。</w:t>
      </w:r>
    </w:p>
    <w:p w14:paraId="3CFF5AD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④ 驱动壳体总成定位销压装夹具：1套，底部带滑轨，可在激光打标机与手动压装机之间快速切换，材质耐磨，定位精准，兼容所有在用驱动壳体型号，具备工件防滑动、防磕碰设计。</w:t>
      </w:r>
    </w:p>
    <w:p w14:paraId="1ADCCC3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⑤ 气动油压脉冲扳手：1套，拧紧力矩满足发电机支架螺栓拧紧要求，带气源处理三联件，操作便捷，扭矩稳定。</w:t>
      </w:r>
    </w:p>
    <w:p w14:paraId="67D050D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（2）OP20 驱动壳体油封压装</w:t>
      </w:r>
      <w:r>
        <w:rPr>
          <w:rFonts w:hint="eastAsia" w:ascii="宋体" w:hAnsi="宋体" w:eastAsia="宋体" w:cs="Times New Roman"/>
          <w:highlight w:val="none"/>
          <w:lang w:val="en-US" w:eastAsia="zh-CN"/>
        </w:rPr>
        <w:t>机</w:t>
      </w:r>
      <w:r>
        <w:rPr>
          <w:rFonts w:hint="eastAsia" w:ascii="宋体" w:hAnsi="宋体" w:eastAsia="宋体" w:cs="Times New Roman"/>
          <w:highlight w:val="none"/>
        </w:rPr>
        <w:t>改造</w:t>
      </w:r>
    </w:p>
    <w:p w14:paraId="5302686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功能：完成驱动壳体油封的精准压装。</w:t>
      </w:r>
      <w:r>
        <w:rPr>
          <w:rFonts w:hint="eastAsia" w:ascii="宋体" w:hAnsi="宋体" w:eastAsia="宋体" w:cs="Times New Roman"/>
          <w:highlight w:val="none"/>
          <w:lang w:val="en-US" w:eastAsia="zh-CN"/>
        </w:rPr>
        <w:t>油封压装机需在甲方原设备基础上进行改造，新增</w:t>
      </w:r>
      <w:r>
        <w:rPr>
          <w:rFonts w:hint="eastAsia" w:ascii="宋体" w:hAnsi="宋体" w:eastAsia="宋体" w:cs="Times New Roman"/>
          <w:highlight w:val="none"/>
        </w:rPr>
        <w:t>倍速链线体穿过压机，压机下方新增举升定位，线体托盘可全自动配合举升定位完成壳体定位</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压装机在定位完成后自动完成油封上料（甲方设备已具备该功能硬件）、</w:t>
      </w:r>
      <w:r>
        <w:rPr>
          <w:rFonts w:hint="eastAsia" w:ascii="宋体" w:hAnsi="宋体" w:eastAsia="宋体" w:cs="Times New Roman"/>
          <w:highlight w:val="none"/>
        </w:rPr>
        <w:t>油封压装。压装机需新增水平气缸保证驱动壳体相位，便于后续机器人抓取。线体两端配备升降机，完成托盘周转。新增读码器用于识别工件流水号。</w:t>
      </w:r>
    </w:p>
    <w:p w14:paraId="1D0717B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05DCD78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工步1：</w:t>
      </w:r>
      <w:r>
        <w:rPr>
          <w:rFonts w:hint="eastAsia" w:ascii="宋体" w:hAnsi="宋体" w:eastAsia="宋体" w:cs="Times New Roman"/>
          <w:highlight w:val="none"/>
          <w:lang w:val="en-US" w:eastAsia="zh-CN"/>
        </w:rPr>
        <w:t>操作者将分装完发电机直架的</w:t>
      </w:r>
      <w:r>
        <w:rPr>
          <w:rFonts w:hint="eastAsia" w:ascii="宋体" w:hAnsi="宋体" w:eastAsia="宋体" w:cs="Times New Roman"/>
          <w:highlight w:val="none"/>
        </w:rPr>
        <w:t>驱动壳体</w:t>
      </w:r>
      <w:r>
        <w:rPr>
          <w:rFonts w:hint="eastAsia" w:ascii="宋体" w:hAnsi="宋体" w:eastAsia="宋体" w:cs="Times New Roman"/>
          <w:highlight w:val="none"/>
          <w:lang w:val="en-US" w:eastAsia="zh-CN"/>
        </w:rPr>
        <w:t>放置到倍速链上方托盘，</w:t>
      </w:r>
      <w:r>
        <w:rPr>
          <w:rFonts w:hint="eastAsia" w:ascii="宋体" w:hAnsi="宋体" w:eastAsia="宋体" w:cs="Times New Roman"/>
          <w:highlight w:val="none"/>
        </w:rPr>
        <w:t>通过倍速链托盘自动输送至压装工位。</w:t>
      </w:r>
    </w:p>
    <w:p w14:paraId="5AE32D6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工步2：举升定位机构将托盘精确举升，水平气缸调整驱动壳体相位至设定角度</w:t>
      </w:r>
      <w:r>
        <w:rPr>
          <w:rFonts w:hint="eastAsia" w:ascii="宋体" w:hAnsi="宋体" w:eastAsia="宋体" w:cs="Times New Roman"/>
          <w:highlight w:val="none"/>
          <w:lang w:eastAsia="zh-CN"/>
        </w:rPr>
        <w:t>，</w:t>
      </w:r>
      <w:r>
        <w:rPr>
          <w:rFonts w:hint="eastAsia" w:ascii="宋体" w:hAnsi="宋体" w:eastAsia="宋体" w:cs="Times New Roman"/>
          <w:highlight w:val="none"/>
        </w:rPr>
        <w:t>读码器扫描工件流水号绑定数据。</w:t>
      </w:r>
    </w:p>
    <w:p w14:paraId="0F7282A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w:t>
      </w:r>
      <w:r>
        <w:rPr>
          <w:rFonts w:hint="eastAsia" w:ascii="宋体" w:hAnsi="宋体" w:eastAsia="宋体" w:cs="Times New Roman"/>
          <w:highlight w:val="none"/>
          <w:lang w:val="en-US" w:eastAsia="zh-CN"/>
        </w:rPr>
        <w:t>油封压机自动上</w:t>
      </w:r>
      <w:r>
        <w:rPr>
          <w:rFonts w:hint="eastAsia" w:ascii="宋体" w:hAnsi="宋体" w:eastAsia="宋体" w:cs="Times New Roman"/>
          <w:highlight w:val="none"/>
        </w:rPr>
        <w:t>油封，装到压头上，自动完成油封压装，压装深度通过压头止口控制；压装完成后举升定位下降，托盘及工件自动输送至下一工位。</w:t>
      </w:r>
    </w:p>
    <w:p w14:paraId="03E5593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安全要求：设备具备急停按钮，压装过程中若出现异常可快速停机；定位工装需具备防工件滑落设计，保障作业安全。</w:t>
      </w:r>
    </w:p>
    <w:p w14:paraId="2D40703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6FF3CA0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① 现有设备改造：对厂内现有气动驱动壳体油封压装机进行改造，新增控制系统（PLC）；新增倍速链线体</w:t>
      </w:r>
      <w:r>
        <w:rPr>
          <w:rFonts w:hint="eastAsia" w:ascii="宋体" w:hAnsi="宋体" w:eastAsia="宋体" w:cs="Times New Roman"/>
          <w:highlight w:val="none"/>
          <w:lang w:val="en-US" w:eastAsia="zh-CN"/>
        </w:rPr>
        <w:t>双层长约4m</w:t>
      </w:r>
      <w:r>
        <w:rPr>
          <w:rFonts w:hint="eastAsia" w:ascii="宋体" w:hAnsi="宋体" w:eastAsia="宋体" w:cs="Times New Roman"/>
          <w:highlight w:val="none"/>
        </w:rPr>
        <w:t>（穿过压机）、托盘举升定位机构、水平相位调整气缸；线体两端配备升降机实现托盘闭环周转</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同时保留原设备手动操作功能</w:t>
      </w:r>
      <w:r>
        <w:rPr>
          <w:rFonts w:hint="eastAsia" w:ascii="宋体" w:hAnsi="宋体" w:eastAsia="宋体" w:cs="Times New Roman"/>
          <w:highlight w:val="none"/>
        </w:rPr>
        <w:t>。</w:t>
      </w:r>
    </w:p>
    <w:p w14:paraId="4077338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 xml:space="preserve">② </w:t>
      </w:r>
      <w:r>
        <w:rPr>
          <w:rFonts w:hint="eastAsia" w:ascii="宋体" w:hAnsi="宋体" w:eastAsia="宋体" w:cs="Times New Roman"/>
          <w:highlight w:val="none"/>
          <w:lang w:val="en-US" w:eastAsia="zh-CN"/>
        </w:rPr>
        <w:t>新增</w:t>
      </w:r>
      <w:r>
        <w:rPr>
          <w:rFonts w:hint="eastAsia" w:ascii="宋体" w:hAnsi="宋体" w:eastAsia="宋体" w:cs="Times New Roman"/>
          <w:highlight w:val="none"/>
        </w:rPr>
        <w:t>配件：定制化定位</w:t>
      </w:r>
      <w:r>
        <w:rPr>
          <w:rFonts w:hint="eastAsia" w:ascii="宋体" w:hAnsi="宋体" w:eastAsia="宋体" w:cs="Times New Roman"/>
          <w:highlight w:val="none"/>
          <w:lang w:val="en-US" w:eastAsia="zh-CN"/>
        </w:rPr>
        <w:t>托盘7</w:t>
      </w:r>
      <w:r>
        <w:rPr>
          <w:rFonts w:hint="eastAsia" w:ascii="宋体" w:hAnsi="宋体" w:eastAsia="宋体" w:cs="Times New Roman"/>
          <w:highlight w:val="none"/>
        </w:rPr>
        <w:t>套（含定位底座、导向机构），材质耐磨，定位精准，适配不同型号驱动壳体；油封压头</w:t>
      </w:r>
      <w:r>
        <w:rPr>
          <w:rFonts w:hint="eastAsia" w:ascii="宋体" w:hAnsi="宋体" w:eastAsia="宋体" w:cs="Times New Roman"/>
          <w:highlight w:val="none"/>
          <w:lang w:val="en-US" w:eastAsia="zh-CN"/>
        </w:rPr>
        <w:t>2件</w:t>
      </w:r>
      <w:r>
        <w:rPr>
          <w:rFonts w:hint="eastAsia" w:ascii="宋体" w:hAnsi="宋体" w:eastAsia="宋体" w:cs="Times New Roman"/>
          <w:highlight w:val="none"/>
        </w:rPr>
        <w:t>，确保压装贴合度。</w:t>
      </w:r>
    </w:p>
    <w:p w14:paraId="343E4071">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③ 读码器：1套，固定式，用于自动识别托盘上工件的流水号，与压装数据绑定。</w:t>
      </w:r>
    </w:p>
    <w:p w14:paraId="6448776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（3）OP30 齿轮、驱动轴装配及驱动轴螺栓拧紧设备</w:t>
      </w:r>
    </w:p>
    <w:p w14:paraId="3A5FC71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功能：完成驱动壳体与齿轮、驱动轴的装配，以及驱动轴螺栓的拧紧作业。利旧</w:t>
      </w:r>
      <w:r>
        <w:rPr>
          <w:rFonts w:hint="eastAsia" w:ascii="宋体" w:hAnsi="宋体" w:eastAsia="宋体" w:cs="Times New Roman"/>
          <w:highlight w:val="none"/>
          <w:lang w:val="en-US" w:eastAsia="zh-CN"/>
        </w:rPr>
        <w:t>甲方已有</w:t>
      </w:r>
      <w:r>
        <w:rPr>
          <w:rFonts w:hint="eastAsia" w:ascii="宋体" w:hAnsi="宋体" w:eastAsia="宋体" w:cs="Times New Roman"/>
          <w:highlight w:val="none"/>
        </w:rPr>
        <w:t>机器人一台，新增转盘</w:t>
      </w:r>
      <w:r>
        <w:rPr>
          <w:rFonts w:hint="eastAsia" w:ascii="宋体" w:hAnsi="宋体" w:eastAsia="宋体" w:cs="Times New Roman"/>
          <w:highlight w:val="none"/>
          <w:lang w:val="en-US" w:eastAsia="zh-CN"/>
        </w:rPr>
        <w:t>一套</w:t>
      </w:r>
      <w:r>
        <w:rPr>
          <w:rFonts w:hint="eastAsia" w:ascii="宋体" w:hAnsi="宋体" w:eastAsia="宋体" w:cs="Times New Roman"/>
          <w:highlight w:val="none"/>
        </w:rPr>
        <w:t>，自动完成</w:t>
      </w:r>
      <w:r>
        <w:rPr>
          <w:rFonts w:hint="eastAsia" w:ascii="宋体" w:hAnsi="宋体" w:eastAsia="宋体" w:cs="Times New Roman"/>
          <w:highlight w:val="none"/>
          <w:lang w:val="en-US" w:eastAsia="zh-CN"/>
        </w:rPr>
        <w:t>驱动壳体从</w:t>
      </w:r>
      <w:r>
        <w:rPr>
          <w:rFonts w:hint="eastAsia" w:ascii="宋体" w:hAnsi="宋体" w:eastAsia="宋体" w:cs="Times New Roman"/>
          <w:highlight w:val="none"/>
        </w:rPr>
        <w:t>前工序到本工序翻转架的周转。采用工业机器人，夹爪采用涨销形式抓取驱动壳体螺栓通孔，将工件放置到转盘上方驱动壳体翻转架。装配完成后使用电动拧紧枪（甲方提供）拧紧螺钉。</w:t>
      </w:r>
    </w:p>
    <w:p w14:paraId="18BAD9A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320ECC5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工步1：OP20完成后，托盘带着驱动壳体输送至OP30上料位。工业机器人通过涨销式夹爪抓取驱动壳体螺栓通孔，将工件从托盘取出并放置到转盘上方的驱动壳体翻转架上</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操作者已放置驱动齿轮</w:t>
      </w:r>
      <w:r>
        <w:rPr>
          <w:rFonts w:hint="eastAsia" w:ascii="宋体" w:hAnsi="宋体" w:eastAsia="宋体" w:cs="Times New Roman"/>
          <w:highlight w:val="none"/>
          <w:lang w:eastAsia="zh-CN"/>
        </w:rPr>
        <w:t>）</w:t>
      </w:r>
      <w:r>
        <w:rPr>
          <w:rFonts w:hint="eastAsia" w:ascii="宋体" w:hAnsi="宋体" w:eastAsia="宋体" w:cs="Times New Roman"/>
          <w:highlight w:val="none"/>
        </w:rPr>
        <w:t>。</w:t>
      </w:r>
    </w:p>
    <w:p w14:paraId="171E167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工步2：翻转架将驱动壳体旋转至齿轮腔朝上。取已涂油驱动轴，装入齿轮孔，不允许驱动轴在重力作用下落到位。</w:t>
      </w:r>
    </w:p>
    <w:p w14:paraId="38D728B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取6件内六角螺钉装到驱动轴和齿轮上。使用扫码枪绑定工件信息后，用电动拧紧枪（甲方提供）拧紧6颗螺钉，拧紧时确认绿灯亮（表示拧紧合格）后再松开，拧紧合格后使用蓝色酒精笔漆标，标记合格状态。</w:t>
      </w:r>
    </w:p>
    <w:p w14:paraId="5F4EE6D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信息采集：</w:t>
      </w:r>
      <w:r>
        <w:rPr>
          <w:rFonts w:hint="eastAsia" w:ascii="宋体" w:hAnsi="宋体" w:eastAsia="宋体" w:cs="Times New Roman"/>
          <w:highlight w:val="none"/>
          <w:lang w:val="en-US" w:eastAsia="zh-CN"/>
        </w:rPr>
        <w:t>扫码枪</w:t>
      </w:r>
      <w:r>
        <w:rPr>
          <w:rFonts w:hint="eastAsia" w:ascii="宋体" w:hAnsi="宋体" w:eastAsia="宋体" w:cs="Times New Roman"/>
          <w:highlight w:val="none"/>
        </w:rPr>
        <w:t>扫描数据与工件信息绑定，电动拧紧枪（甲方</w:t>
      </w:r>
      <w:r>
        <w:rPr>
          <w:rFonts w:hint="eastAsia" w:ascii="宋体" w:hAnsi="宋体" w:eastAsia="宋体" w:cs="Times New Roman"/>
          <w:highlight w:val="none"/>
          <w:lang w:val="en-US" w:eastAsia="zh-CN"/>
        </w:rPr>
        <w:t>提供</w:t>
      </w:r>
      <w:r>
        <w:rPr>
          <w:rFonts w:hint="eastAsia" w:ascii="宋体" w:hAnsi="宋体" w:eastAsia="宋体" w:cs="Times New Roman"/>
          <w:highlight w:val="none"/>
        </w:rPr>
        <w:t>）的拧紧力矩、拧紧结果等数据按甲方规范上传至指定数据库，本地控制器储存相关数据，支持追溯查询。</w:t>
      </w:r>
    </w:p>
    <w:p w14:paraId="52DB4D1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2B3F465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① 工业机器人：1台（</w:t>
      </w:r>
      <w:r>
        <w:rPr>
          <w:rFonts w:hint="eastAsia" w:ascii="宋体" w:hAnsi="宋体" w:eastAsia="宋体" w:cs="Times New Roman"/>
          <w:highlight w:val="none"/>
          <w:lang w:val="en-US" w:eastAsia="zh-CN"/>
        </w:rPr>
        <w:t>本体由甲方提供，需新增夹爪，完成设备调试</w:t>
      </w:r>
      <w:r>
        <w:rPr>
          <w:rFonts w:hint="eastAsia" w:ascii="宋体" w:hAnsi="宋体" w:eastAsia="宋体" w:cs="Times New Roman"/>
          <w:highlight w:val="none"/>
        </w:rPr>
        <w:t>），夹爪采用涨销形式，用于抓取驱动壳体螺栓通孔，完成工件在托盘、翻转架、转盘之间的移载。</w:t>
      </w:r>
    </w:p>
    <w:p w14:paraId="5C4D0B9A">
      <w:pPr>
        <w:shd w:val="clear" w:color="auto" w:fill="auto"/>
        <w:spacing w:line="480" w:lineRule="exact"/>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rPr>
        <w:t>② 转盘及驱动壳体翻转架：</w:t>
      </w:r>
      <w:r>
        <w:rPr>
          <w:rFonts w:hint="eastAsia" w:ascii="宋体" w:hAnsi="宋体" w:eastAsia="宋体" w:cs="Times New Roman"/>
          <w:highlight w:val="none"/>
          <w:lang w:val="en-US" w:eastAsia="zh-CN"/>
        </w:rPr>
        <w:t>转盘</w:t>
      </w:r>
      <w:r>
        <w:rPr>
          <w:rFonts w:hint="eastAsia" w:ascii="宋体" w:hAnsi="宋体" w:eastAsia="宋体" w:cs="Times New Roman"/>
          <w:highlight w:val="none"/>
        </w:rPr>
        <w:t>1套，转盘用于工位</w:t>
      </w:r>
      <w:r>
        <w:rPr>
          <w:rFonts w:hint="eastAsia" w:ascii="宋体" w:hAnsi="宋体" w:eastAsia="宋体" w:cs="Times New Roman"/>
          <w:highlight w:val="none"/>
          <w:lang w:val="en-US" w:eastAsia="zh-CN"/>
        </w:rPr>
        <w:t>内</w:t>
      </w:r>
      <w:r>
        <w:rPr>
          <w:rFonts w:hint="eastAsia" w:ascii="宋体" w:hAnsi="宋体" w:eastAsia="宋体" w:cs="Times New Roman"/>
          <w:highlight w:val="none"/>
        </w:rPr>
        <w:t>工件流转，翻转架可将驱动壳体旋转至所需装配角度</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在转盘上固定4套翻转架，可通过机器人自动上下料。</w:t>
      </w:r>
    </w:p>
    <w:p w14:paraId="5A59F74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③</w:t>
      </w:r>
      <w:r>
        <w:rPr>
          <w:rFonts w:hint="eastAsia" w:ascii="宋体" w:hAnsi="宋体" w:eastAsia="宋体" w:cs="Times New Roman"/>
          <w:highlight w:val="none"/>
        </w:rPr>
        <w:t xml:space="preserve"> 扫码枪：1套，用于绑定工件信息与拧紧数据。</w:t>
      </w:r>
    </w:p>
    <w:p w14:paraId="535FFB5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（4）OP40 皮带轮/解耦器装配设备</w:t>
      </w:r>
    </w:p>
    <w:p w14:paraId="4ED54D2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驱动壳体油封唇口清洁、密封圈装配及皮带轮/解耦器装配作业。采用工业机器人，夹爪采用涨销形式抓取驱动壳体螺栓通孔，将工件从前一工序转盘上方的驱动壳体翻转架，抓取到皮带轮装配转盘上方定位工装。</w:t>
      </w:r>
    </w:p>
    <w:p w14:paraId="417D2BB7">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557D5BC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工步1：工业机器人通过涨销式夹爪从OP30转盘上方的翻转架上抓取驱动壳体，移载至皮带轮装配转盘上方的定位工装。</w:t>
      </w:r>
    </w:p>
    <w:p w14:paraId="0165099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工步2：使用吸尘器对准油封唇口位置吸尘2s以上，确保油封唇口无异物、无杂质。</w:t>
      </w:r>
    </w:p>
    <w:p w14:paraId="3F433FF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工步3：取已涂油的密封圈，装到驱动轴上，确保密封圈安装到位、无歪斜；取皮带轮/解耦器，装到驱动轴上，装配时略微旋转并下压，确保装配到位。</w:t>
      </w:r>
    </w:p>
    <w:p w14:paraId="13C34BF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操作要求：装配过程中避免磕碰油封唇口、密封圈及皮带轮/解耦器，确保零部件无损坏；吸尘器操作便捷，吸尘效果良好，避免粉尘扩散。</w:t>
      </w:r>
    </w:p>
    <w:p w14:paraId="1BBF8DD7">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3A06E4D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①</w:t>
      </w:r>
      <w:r>
        <w:rPr>
          <w:rFonts w:hint="eastAsia" w:ascii="宋体" w:hAnsi="宋体" w:eastAsia="宋体" w:cs="Times New Roman"/>
          <w:highlight w:val="none"/>
        </w:rPr>
        <w:t xml:space="preserve"> 皮带轮装配转盘及定位工装：1套，用于工件定位及装配</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可满足机器人对所有品种产品的自动上下料</w:t>
      </w:r>
      <w:r>
        <w:rPr>
          <w:rFonts w:hint="eastAsia" w:ascii="宋体" w:hAnsi="宋体" w:eastAsia="宋体" w:cs="Times New Roman"/>
          <w:highlight w:val="none"/>
        </w:rPr>
        <w:t>。</w:t>
      </w:r>
    </w:p>
    <w:p w14:paraId="79F9D4C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②</w:t>
      </w:r>
      <w:r>
        <w:rPr>
          <w:rFonts w:hint="eastAsia" w:ascii="宋体" w:hAnsi="宋体" w:eastAsia="宋体" w:cs="Times New Roman"/>
          <w:highlight w:val="none"/>
        </w:rPr>
        <w:t xml:space="preserve"> 吸尘器：1台，工业级，吸力充足，配备适配油封唇口的吸尘头，操作轻便，便于在工位内灵活使用，具备防尘、降噪功能。</w:t>
      </w:r>
    </w:p>
    <w:p w14:paraId="7F007F4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（5）OP50 皮带轮螺栓拧紧设备改造</w:t>
      </w:r>
    </w:p>
    <w:p w14:paraId="0443913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皮带轮螺栓的高精度拧紧作业。新增倍速链线体穿过拧紧机，自动换型拧紧皮带轮螺栓。拧紧完成后，机器人自动抓取PTO放置到定制工位器具，完成出料。拧紧机定制开发3套专用快换夹具实现不同型号产品的快速自动切换。新增读码器，</w:t>
      </w:r>
      <w:r>
        <w:rPr>
          <w:rFonts w:hint="eastAsia" w:ascii="宋体" w:hAnsi="宋体" w:eastAsia="宋体" w:cs="Times New Roman"/>
          <w:highlight w:val="none"/>
          <w:lang w:val="en-US" w:eastAsia="zh-CN"/>
        </w:rPr>
        <w:t>新增1000Nm扭矩的拧紧轴1套并将拧紧轴集成到甲方皮带轮螺栓拧紧机框架</w:t>
      </w:r>
      <w:r>
        <w:rPr>
          <w:rFonts w:hint="eastAsia" w:ascii="宋体" w:hAnsi="宋体" w:eastAsia="宋体" w:cs="Times New Roman"/>
          <w:highlight w:val="none"/>
        </w:rPr>
        <w:t>，拧紧结果需按甲方规范上传至指定数据库，并在本地储存。</w:t>
      </w:r>
    </w:p>
    <w:p w14:paraId="02DE32C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4028413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工步1：OP40装配完成的工件通过</w:t>
      </w:r>
      <w:r>
        <w:rPr>
          <w:rFonts w:hint="eastAsia" w:ascii="宋体" w:hAnsi="宋体" w:eastAsia="宋体" w:cs="Times New Roman"/>
          <w:highlight w:val="none"/>
          <w:lang w:val="en-US" w:eastAsia="zh-CN"/>
        </w:rPr>
        <w:t>机器人移动至倍速链，</w:t>
      </w:r>
      <w:r>
        <w:rPr>
          <w:rFonts w:hint="eastAsia" w:ascii="宋体" w:hAnsi="宋体" w:eastAsia="宋体" w:cs="Times New Roman"/>
          <w:highlight w:val="none"/>
        </w:rPr>
        <w:t>倍速链托盘输送至OP50</w:t>
      </w:r>
      <w:r>
        <w:rPr>
          <w:rFonts w:hint="eastAsia" w:ascii="宋体" w:hAnsi="宋体" w:eastAsia="宋体" w:cs="Times New Roman"/>
          <w:highlight w:val="none"/>
          <w:lang w:val="en-US" w:eastAsia="zh-CN"/>
        </w:rPr>
        <w:t>皮带轮螺栓</w:t>
      </w:r>
      <w:r>
        <w:rPr>
          <w:rFonts w:hint="eastAsia" w:ascii="宋体" w:hAnsi="宋体" w:eastAsia="宋体" w:cs="Times New Roman"/>
          <w:highlight w:val="none"/>
        </w:rPr>
        <w:t>拧紧机工位。读码器自动扫描工件流水号，绑定拧紧数据。</w:t>
      </w:r>
    </w:p>
    <w:p w14:paraId="1FA4E3C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工步2：拧紧机根据工件型号自动切换对应的快换夹具，对皮带轮螺栓进行自动拧紧，拧紧过程平稳。</w:t>
      </w:r>
    </w:p>
    <w:p w14:paraId="08ABA87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工步3：拧紧完成后设备反馈合格信号。工业机器人自动抓取已完成的PTO总成，放置到定制工位器具内，摆放整齐，避免磕碰。</w:t>
      </w:r>
    </w:p>
    <w:p w14:paraId="0ABF9F5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换型能力：3套专用快换夹具由拧紧机根据读取的工件型号自动快速切换，适配所有在用驱动壳体及皮带轮型号，无需人工干预。</w:t>
      </w:r>
    </w:p>
    <w:p w14:paraId="04458A5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信息采集：读码器扫描数据</w:t>
      </w:r>
      <w:r>
        <w:rPr>
          <w:rFonts w:hint="eastAsia" w:ascii="宋体" w:hAnsi="宋体" w:eastAsia="宋体" w:cs="Times New Roman"/>
          <w:highlight w:val="none"/>
          <w:lang w:val="en-US" w:eastAsia="zh-CN"/>
        </w:rPr>
        <w:t>按甲方规范上传至指定数据库</w:t>
      </w:r>
      <w:r>
        <w:rPr>
          <w:rFonts w:hint="eastAsia" w:ascii="宋体" w:hAnsi="宋体" w:eastAsia="宋体" w:cs="Times New Roman"/>
          <w:highlight w:val="none"/>
        </w:rPr>
        <w:t>，拧紧轴的拧紧力矩、拧紧结果等数据按甲方规范上传至指定数据库，</w:t>
      </w:r>
      <w:r>
        <w:rPr>
          <w:rFonts w:hint="eastAsia" w:ascii="宋体" w:hAnsi="宋体" w:eastAsia="宋体" w:cs="Times New Roman"/>
          <w:highlight w:val="none"/>
          <w:lang w:val="en-US" w:eastAsia="zh-CN"/>
        </w:rPr>
        <w:t>设备本地</w:t>
      </w:r>
      <w:r>
        <w:rPr>
          <w:rFonts w:hint="eastAsia" w:ascii="宋体" w:hAnsi="宋体" w:eastAsia="宋体" w:cs="Times New Roman"/>
          <w:highlight w:val="none"/>
        </w:rPr>
        <w:t>至少可存储100,000个拧紧结果，支持追溯查询。</w:t>
      </w:r>
    </w:p>
    <w:p w14:paraId="2D9635B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7D4F4B48">
      <w:pPr>
        <w:numPr>
          <w:ilvl w:val="0"/>
          <w:numId w:val="12"/>
        </w:num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现有设备改造：对厂内已有皮带轮螺栓拧紧设备框架进行改造</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将拧紧轴安装至设备框架</w:t>
      </w:r>
      <w:r>
        <w:rPr>
          <w:rFonts w:hint="eastAsia" w:ascii="宋体" w:hAnsi="宋体" w:eastAsia="宋体" w:cs="Times New Roman"/>
          <w:highlight w:val="none"/>
        </w:rPr>
        <w:t>，新增倍速链线体（穿过拧紧机）</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相位保证气缸</w:t>
      </w:r>
      <w:r>
        <w:rPr>
          <w:rFonts w:hint="eastAsia" w:ascii="宋体" w:hAnsi="宋体" w:eastAsia="宋体" w:cs="Times New Roman"/>
          <w:highlight w:val="none"/>
        </w:rPr>
        <w:t>、自动换型机构</w:t>
      </w:r>
      <w:r>
        <w:rPr>
          <w:rFonts w:hint="eastAsia" w:ascii="宋体" w:hAnsi="宋体" w:eastAsia="宋体" w:cs="Times New Roman"/>
          <w:highlight w:val="none"/>
          <w:lang w:eastAsia="zh-CN"/>
        </w:rPr>
        <w:t>、</w:t>
      </w:r>
      <w:r>
        <w:rPr>
          <w:rFonts w:hint="eastAsia" w:ascii="宋体" w:hAnsi="宋体" w:eastAsia="宋体" w:cs="Times New Roman"/>
          <w:highlight w:val="none"/>
        </w:rPr>
        <w:t>定制开发3套专用快换夹具，实现不同型号产品的快速自动切换。</w:t>
      </w:r>
    </w:p>
    <w:p w14:paraId="3A2BD436">
      <w:pPr>
        <w:numPr>
          <w:ilvl w:val="0"/>
          <w:numId w:val="12"/>
        </w:num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线体</w:t>
      </w:r>
      <w:r>
        <w:rPr>
          <w:rFonts w:hint="eastAsia" w:ascii="宋体" w:hAnsi="宋体" w:eastAsia="宋体" w:cs="Times New Roman"/>
          <w:highlight w:val="none"/>
        </w:rPr>
        <w:t>定制化定位</w:t>
      </w:r>
      <w:r>
        <w:rPr>
          <w:rFonts w:hint="eastAsia" w:ascii="宋体" w:hAnsi="宋体" w:eastAsia="宋体" w:cs="Times New Roman"/>
          <w:highlight w:val="none"/>
          <w:lang w:val="en-US" w:eastAsia="zh-CN"/>
        </w:rPr>
        <w:t>托盘7</w:t>
      </w:r>
      <w:r>
        <w:rPr>
          <w:rFonts w:hint="eastAsia" w:ascii="宋体" w:hAnsi="宋体" w:eastAsia="宋体" w:cs="Times New Roman"/>
          <w:highlight w:val="none"/>
        </w:rPr>
        <w:t>套（含定位底座、导向机构），材质耐磨，定位精准，适配不同型号驱动壳体；油封压头</w:t>
      </w:r>
      <w:r>
        <w:rPr>
          <w:rFonts w:hint="eastAsia" w:ascii="宋体" w:hAnsi="宋体" w:eastAsia="宋体" w:cs="Times New Roman"/>
          <w:highlight w:val="none"/>
          <w:lang w:val="en-US" w:eastAsia="zh-CN"/>
        </w:rPr>
        <w:t>2件</w:t>
      </w:r>
      <w:r>
        <w:rPr>
          <w:rFonts w:hint="eastAsia" w:ascii="宋体" w:hAnsi="宋体" w:eastAsia="宋体" w:cs="Times New Roman"/>
          <w:highlight w:val="none"/>
        </w:rPr>
        <w:t>，确保压装贴合度。</w:t>
      </w:r>
    </w:p>
    <w:p w14:paraId="7773B84F">
      <w:pPr>
        <w:numPr>
          <w:ilvl w:val="0"/>
          <w:numId w:val="12"/>
        </w:numPr>
        <w:shd w:val="clear" w:color="auto" w:fill="auto"/>
        <w:spacing w:line="480" w:lineRule="exact"/>
        <w:ind w:left="0" w:leftChars="0" w:firstLine="420" w:firstLineChars="200"/>
        <w:rPr>
          <w:rFonts w:hint="eastAsia" w:ascii="宋体" w:hAnsi="宋体" w:eastAsia="宋体" w:cs="Times New Roman"/>
          <w:highlight w:val="none"/>
        </w:rPr>
      </w:pPr>
      <w:r>
        <w:rPr>
          <w:rFonts w:hint="eastAsia" w:ascii="宋体" w:hAnsi="宋体" w:eastAsia="宋体" w:cs="Times New Roman"/>
          <w:highlight w:val="none"/>
        </w:rPr>
        <w:t>阿特拉斯</w:t>
      </w:r>
      <w:r>
        <w:rPr>
          <w:rFonts w:hint="eastAsia" w:ascii="宋体" w:hAnsi="宋体" w:eastAsia="宋体" w:cs="Times New Roman"/>
          <w:highlight w:val="none"/>
          <w:lang w:val="en-US" w:eastAsia="zh-CN"/>
        </w:rPr>
        <w:t>1000Nm拧紧轴或其它品牌同等规格拧紧轴含控制器。</w:t>
      </w:r>
    </w:p>
    <w:p w14:paraId="0160708B">
      <w:pPr>
        <w:numPr>
          <w:ilvl w:val="0"/>
          <w:numId w:val="12"/>
        </w:numPr>
        <w:shd w:val="clear" w:color="auto" w:fill="auto"/>
        <w:spacing w:line="480" w:lineRule="exact"/>
        <w:ind w:left="0" w:leftChars="0" w:firstLine="420" w:firstLineChars="200"/>
        <w:rPr>
          <w:rFonts w:hint="eastAsia" w:ascii="宋体" w:hAnsi="宋体" w:eastAsia="宋体" w:cs="Times New Roman"/>
          <w:highlight w:val="none"/>
        </w:rPr>
      </w:pPr>
      <w:r>
        <w:rPr>
          <w:rFonts w:hint="eastAsia" w:ascii="宋体" w:hAnsi="宋体" w:eastAsia="宋体" w:cs="Times New Roman"/>
          <w:highlight w:val="none"/>
        </w:rPr>
        <w:t>读码器：1套，固定式，用于自动识别工件流水号，绑定拧紧数据。</w:t>
      </w:r>
    </w:p>
    <w:p w14:paraId="3396C745">
      <w:pPr>
        <w:numPr>
          <w:ilvl w:val="0"/>
          <w:numId w:val="12"/>
        </w:numPr>
        <w:shd w:val="clear" w:color="auto" w:fill="auto"/>
        <w:spacing w:line="480" w:lineRule="exact"/>
        <w:ind w:left="0" w:leftChars="0"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自动出料配套PTO总成周转料架4套，与机器人对接，实现PTO总成自动收纳放置，符合人机工程，可接受人工介入换层。</w:t>
      </w:r>
    </w:p>
    <w:p w14:paraId="24205AC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（6）信息化需求</w:t>
      </w:r>
    </w:p>
    <w:p w14:paraId="3A1C593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工艺要求：</w:t>
      </w:r>
    </w:p>
    <w:p w14:paraId="4090AC6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功能：电动拧紧枪、拧紧机接入甲方MES系统、数据库，实现数据上传。</w:t>
      </w:r>
    </w:p>
    <w:p w14:paraId="5E8C690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数据生成与管理：</w:t>
      </w:r>
    </w:p>
    <w:p w14:paraId="7DF6853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激光打标机上位机可选择打刻模板，自动编写工件流水号，打刻信息上传至甲方指定数据库</w:t>
      </w:r>
      <w:r>
        <w:rPr>
          <w:rFonts w:hint="eastAsia" w:ascii="宋体" w:hAnsi="宋体" w:eastAsia="宋体" w:cs="Times New Roman"/>
          <w:highlight w:val="none"/>
        </w:rPr>
        <w:t>。</w:t>
      </w:r>
    </w:p>
    <w:p w14:paraId="0AD3298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数据追溯：所有拧紧数据、打刻数据需长期保存，支持按流水号、图号、二维码检索查询；拧紧曲线需本地保存可对应产品流水号，实现拧紧过程可追溯。</w:t>
      </w:r>
    </w:p>
    <w:p w14:paraId="2D72046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接口：与甲方数据库对接，实现激光打标机、电动拧紧枪、拧紧轴、OP20/OP50读码器（固定式）及全工序通用物料批次码记录用扫码枪等设备通讯数据实时采集与下发。</w:t>
      </w:r>
    </w:p>
    <w:p w14:paraId="37134875">
      <w:pPr>
        <w:shd w:val="clear" w:color="auto" w:fill="auto"/>
        <w:spacing w:line="480" w:lineRule="exact"/>
        <w:ind w:firstLine="42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rPr>
        <w:t>读码/扫码配置：</w:t>
      </w:r>
    </w:p>
    <w:p w14:paraId="0CB302F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OP20：固定式读码器1套，自动识别工件流水号，绑定压装数据。</w:t>
      </w:r>
    </w:p>
    <w:p w14:paraId="17A6959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OP50：固定式读码器1套，自动识别工件流水号，绑定皮带轮螺栓拧紧数据。</w:t>
      </w:r>
    </w:p>
    <w:p w14:paraId="0D009034">
      <w:pPr>
        <w:shd w:val="clear" w:color="auto" w:fill="auto"/>
        <w:spacing w:line="480" w:lineRule="exact"/>
        <w:ind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rPr>
        <w:t>全工序通用：扫码枪</w:t>
      </w:r>
      <w:r>
        <w:rPr>
          <w:rFonts w:hint="eastAsia" w:ascii="宋体" w:hAnsi="宋体" w:eastAsia="宋体" w:cs="Times New Roman"/>
          <w:highlight w:val="none"/>
          <w:lang w:val="en-US" w:eastAsia="zh-CN"/>
        </w:rPr>
        <w:t>2</w:t>
      </w:r>
      <w:r>
        <w:rPr>
          <w:rFonts w:hint="eastAsia" w:ascii="宋体" w:hAnsi="宋体" w:eastAsia="宋体" w:cs="Times New Roman"/>
          <w:highlight w:val="none"/>
        </w:rPr>
        <w:t>把（用于扫描并记录所有物料批次码，将物料批次信息</w:t>
      </w:r>
      <w:r>
        <w:rPr>
          <w:rFonts w:hint="eastAsia" w:ascii="宋体" w:hAnsi="宋体" w:eastAsia="宋体" w:cs="Times New Roman"/>
          <w:highlight w:val="none"/>
          <w:lang w:val="en-US" w:eastAsia="zh-CN"/>
        </w:rPr>
        <w:t>上传至甲方指定数据库</w:t>
      </w:r>
      <w:r>
        <w:rPr>
          <w:rFonts w:hint="eastAsia" w:ascii="宋体" w:hAnsi="宋体" w:eastAsia="宋体" w:cs="Times New Roman"/>
          <w:highlight w:val="none"/>
        </w:rPr>
        <w:t>），选用康耐视DM8600或同等规格工业级无线扫码枪，带串口线，带充电座。</w:t>
      </w:r>
      <w:r>
        <w:rPr>
          <w:rFonts w:ascii="宋体" w:hAnsi="宋体" w:eastAsia="宋体" w:cs="宋体"/>
          <w:sz w:val="24"/>
          <w:szCs w:val="24"/>
        </w:rPr>
        <w:t>批次件是通过PLC绑定，</w:t>
      </w:r>
      <w:r>
        <w:rPr>
          <w:rFonts w:hint="eastAsia" w:ascii="宋体" w:hAnsi="宋体" w:eastAsia="宋体" w:cs="宋体"/>
          <w:sz w:val="24"/>
          <w:szCs w:val="24"/>
          <w:lang w:val="en-US" w:eastAsia="zh-CN"/>
        </w:rPr>
        <w:t>利用</w:t>
      </w:r>
      <w:r>
        <w:rPr>
          <w:rFonts w:ascii="宋体" w:hAnsi="宋体" w:eastAsia="宋体" w:cs="宋体"/>
          <w:sz w:val="24"/>
          <w:szCs w:val="24"/>
        </w:rPr>
        <w:t>到位信号和MES集成通过数采的方式采集到MES里</w:t>
      </w:r>
      <w:r>
        <w:rPr>
          <w:rFonts w:hint="eastAsia" w:ascii="宋体" w:hAnsi="宋体" w:eastAsia="宋体" w:cs="宋体"/>
          <w:sz w:val="24"/>
          <w:szCs w:val="24"/>
          <w:lang w:eastAsia="zh-CN"/>
        </w:rPr>
        <w:t>。</w:t>
      </w:r>
    </w:p>
    <w:p w14:paraId="502D89A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02444FC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① 工控机：</w:t>
      </w:r>
      <w:r>
        <w:rPr>
          <w:rFonts w:hint="eastAsia" w:ascii="宋体" w:hAnsi="宋体" w:eastAsia="宋体" w:cs="Times New Roman"/>
          <w:highlight w:val="none"/>
          <w:lang w:val="en-US" w:eastAsia="zh-CN"/>
        </w:rPr>
        <w:t>3</w:t>
      </w:r>
      <w:r>
        <w:rPr>
          <w:rFonts w:hint="eastAsia" w:ascii="宋体" w:hAnsi="宋体" w:eastAsia="宋体" w:cs="Times New Roman"/>
          <w:highlight w:val="none"/>
        </w:rPr>
        <w:t>台，工业级，配置不低于i5/8G/256G SSD，预装Windows 10 LTSC，带串口、网口，用于数据采集、系统操作及数据展示。</w:t>
      </w:r>
    </w:p>
    <w:p w14:paraId="020082D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② 数据采集软件：1套，实现与拧紧轴控制器、电动拧紧枪、激光打标机、固定式读码器、扫码枪的数据通讯，采集各设备运行数据及工序数据。</w:t>
      </w:r>
    </w:p>
    <w:p w14:paraId="6A1CA10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③ 读码器/扫码枪：固定式读码器2套（OP20、OP50各1），通用扫码枪</w:t>
      </w:r>
      <w:r>
        <w:rPr>
          <w:rFonts w:hint="eastAsia" w:ascii="宋体" w:hAnsi="宋体" w:eastAsia="宋体" w:cs="Times New Roman"/>
          <w:highlight w:val="none"/>
          <w:lang w:val="en-US" w:eastAsia="zh-CN"/>
        </w:rPr>
        <w:t>2</w:t>
      </w:r>
      <w:r>
        <w:rPr>
          <w:rFonts w:hint="eastAsia" w:ascii="宋体" w:hAnsi="宋体" w:eastAsia="宋体" w:cs="Times New Roman"/>
          <w:highlight w:val="none"/>
        </w:rPr>
        <w:t>把。</w:t>
      </w:r>
    </w:p>
    <w:p w14:paraId="34CEB5E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④ 接口开发：与甲方MES系统、甲方指定数据库的接口开发，包括数据格式定义、API调用等，确保数据同步顺畅；与各设备的通讯接口调试，确保数据采集准确。</w:t>
      </w:r>
    </w:p>
    <w:p w14:paraId="31FD7C0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⑤ 网络布线：根据甲方交换机位置与实际分装位置，使用六类屏蔽网线进行连接，确保通讯稳定。</w:t>
      </w:r>
    </w:p>
    <w:p w14:paraId="67A2FE9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⑥</w:t>
      </w:r>
      <w:r>
        <w:rPr>
          <w:rFonts w:hint="eastAsia" w:ascii="宋体" w:hAnsi="宋体" w:eastAsia="宋体" w:cs="Times New Roman"/>
          <w:highlight w:val="none"/>
        </w:rPr>
        <w:t xml:space="preserve"> </w:t>
      </w:r>
      <w:r>
        <w:rPr>
          <w:rFonts w:hint="eastAsia" w:ascii="宋体" w:hAnsi="宋体" w:eastAsia="宋体" w:cs="Times New Roman"/>
          <w:highlight w:val="none"/>
          <w:lang w:val="en-US" w:eastAsia="zh-CN"/>
        </w:rPr>
        <w:t>电器柜</w:t>
      </w:r>
      <w:r>
        <w:rPr>
          <w:rFonts w:hint="eastAsia" w:ascii="宋体" w:hAnsi="宋体" w:eastAsia="宋体" w:cs="Times New Roman"/>
          <w:highlight w:val="none"/>
        </w:rPr>
        <w:t>：</w:t>
      </w:r>
      <w:r>
        <w:rPr>
          <w:rFonts w:hint="eastAsia" w:ascii="宋体" w:hAnsi="宋体" w:eastAsia="宋体" w:cs="Times New Roman"/>
          <w:highlight w:val="none"/>
          <w:lang w:val="en-US" w:eastAsia="zh-CN"/>
        </w:rPr>
        <w:t>根据分装线方案布局，集成各设备电气线路控制</w:t>
      </w:r>
      <w:r>
        <w:rPr>
          <w:rFonts w:hint="eastAsia" w:ascii="宋体" w:hAnsi="宋体" w:eastAsia="宋体" w:cs="Times New Roman"/>
          <w:highlight w:val="none"/>
        </w:rPr>
        <w:t>。</w:t>
      </w:r>
    </w:p>
    <w:p w14:paraId="1C0D6AA8">
      <w:pPr>
        <w:shd w:val="clear" w:color="auto" w:fill="auto"/>
        <w:spacing w:line="480" w:lineRule="exact"/>
        <w:ind w:firstLine="420" w:firstLineChars="200"/>
        <w:rPr>
          <w:rFonts w:hint="eastAsia" w:ascii="宋体" w:hAnsi="宋体" w:eastAsia="宋体" w:cs="Times New Roman"/>
          <w:highlight w:val="none"/>
        </w:rPr>
      </w:pPr>
    </w:p>
    <w:p w14:paraId="6363733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宋体" w:hAnsi="宋体" w:eastAsia="宋体" w:cs="Times New Roman"/>
          <w:highlight w:val="none"/>
        </w:rPr>
      </w:pPr>
      <w:r>
        <w:rPr>
          <w:rFonts w:hint="eastAsia" w:ascii="黑体" w:hAnsi="黑体" w:eastAsia="黑体" w:cs="Times New Roman"/>
          <w:b/>
          <w:bCs/>
          <w:sz w:val="28"/>
          <w:szCs w:val="28"/>
          <w:highlight w:val="none"/>
        </w:rPr>
        <w:t>四、主要技术状态说明</w:t>
      </w:r>
    </w:p>
    <w:p w14:paraId="116122B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项目实施地点在济南发动机厂装调部，现场环境符合发动机装配要求。</w:t>
      </w:r>
    </w:p>
    <w:p w14:paraId="71DB643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1、电气系统要求</w:t>
      </w:r>
    </w:p>
    <w:p w14:paraId="3B17C74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（1）低压电器：施耐德、西门子等知名品牌产品，并在投标档中予以分别标明。</w:t>
      </w:r>
    </w:p>
    <w:p w14:paraId="4CFC09C9">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（2）工控机选用研华或同能品牌。</w:t>
      </w:r>
    </w:p>
    <w:p w14:paraId="52808B7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（3）条码枪选用康耐视DM8600</w:t>
      </w:r>
      <w:r>
        <w:rPr>
          <w:rFonts w:hint="eastAsia" w:ascii="宋体" w:hAnsi="宋体" w:eastAsia="宋体" w:cs="Times New Roman"/>
          <w:highlight w:val="none"/>
          <w:lang w:val="en-US" w:eastAsia="zh-CN"/>
        </w:rPr>
        <w:t>或其它品牌同等规格条码枪</w:t>
      </w:r>
      <w:r>
        <w:rPr>
          <w:rFonts w:hint="eastAsia" w:ascii="宋体" w:hAnsi="宋体" w:eastAsia="宋体" w:cs="Times New Roman"/>
          <w:highlight w:val="none"/>
        </w:rPr>
        <w:t>。</w:t>
      </w:r>
    </w:p>
    <w:p w14:paraId="360C7A3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2、装置颜色：设备色标按照中国重型汽车集团有限公司企业标准。</w:t>
      </w:r>
    </w:p>
    <w:p w14:paraId="5126063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3、装置噪音达标要求：常时音不大于80dB，连续音不大于85dB，瞬间音不大于90dB，检测规范按照国家标准噪音测试依据：GBZ/T189.8-2007执行。</w:t>
      </w:r>
    </w:p>
    <w:p w14:paraId="3026511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4、节能环保要求：所选电机、电气元件能耗要符合国家最新法规要求，选用节能产品；吸尘器等设备需具备节能、环保功能，减少能源消耗及粉尘污染。</w:t>
      </w:r>
    </w:p>
    <w:p w14:paraId="56FEBA5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5、程序图纸要求：</w:t>
      </w:r>
    </w:p>
    <w:p w14:paraId="059AD98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5.1投标方必须提供所有设备程序的源代码，包括但不限于PLC程序、HMI程序、机器人程序、视觉程序、伺服等。</w:t>
      </w:r>
    </w:p>
    <w:p w14:paraId="1C815EC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5.2投标方所提供的程序不得设置任何密码、保护等限制手段，PLC不得设置修改下载权限，功能块不得设置密码保护。</w:t>
      </w:r>
    </w:p>
    <w:p w14:paraId="0C61FDE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5.3HMI界面等需要密码保护的程序，投标方必须提供所有级别的用户名、密码。</w:t>
      </w:r>
    </w:p>
    <w:p w14:paraId="37E0F4B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5.4投标方需在设备验收前提供设备程序源码，HMI界面各级用户名和密码，并保证与现场程序一致。</w:t>
      </w:r>
    </w:p>
    <w:p w14:paraId="5D46E9C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5.5投标方需在终验收前提供最新的设备程序源码和电气图纸，图纸要求为可编辑原格式（EPLAN、CAD格式）且与实际接线一致；同时提供各设备的安装图纸、调试手册、操作手册等技术资料。</w:t>
      </w:r>
    </w:p>
    <w:p w14:paraId="608654A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6、接口协议要求</w:t>
      </w:r>
    </w:p>
    <w:p w14:paraId="2F13CB5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6.1投标方免费开放所有通讯接口，包括但不限于以太网、RS232、RS485、PROFIBUS、PROFINET、MODBUS等常见接口，以及设备特有的专用接口（如激光打标机、拧紧轴专用接口）。</w:t>
      </w:r>
    </w:p>
    <w:p w14:paraId="1C06C5F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6.2投标方免费提供数据交互功能，交互数据包括但不限于实时数据、历史数据、报警信息、拧紧曲线、打刻数据、压装数据等。</w:t>
      </w:r>
    </w:p>
    <w:p w14:paraId="5284C16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6.3投标方在设备入场前提供接口的技术文档和参数说明，包括但不限于接口协议、通讯速率、数据格式等，确保与</w:t>
      </w:r>
      <w:r>
        <w:rPr>
          <w:rFonts w:hint="eastAsia" w:ascii="宋体" w:hAnsi="宋体" w:eastAsia="宋体" w:cs="Times New Roman"/>
          <w:highlight w:val="none"/>
          <w:lang w:val="en-US" w:eastAsia="zh-CN"/>
        </w:rPr>
        <w:t>甲</w:t>
      </w:r>
      <w:r>
        <w:rPr>
          <w:rFonts w:hint="eastAsia" w:ascii="宋体" w:hAnsi="宋体" w:eastAsia="宋体" w:cs="Times New Roman"/>
          <w:highlight w:val="none"/>
        </w:rPr>
        <w:t>方MES系统、</w:t>
      </w:r>
      <w:r>
        <w:rPr>
          <w:rFonts w:hint="eastAsia" w:ascii="宋体" w:hAnsi="宋体" w:eastAsia="宋体" w:cs="Times New Roman"/>
          <w:highlight w:val="none"/>
          <w:lang w:val="en-US" w:eastAsia="zh-CN"/>
        </w:rPr>
        <w:t>数据库</w:t>
      </w:r>
      <w:r>
        <w:rPr>
          <w:rFonts w:hint="eastAsia" w:ascii="宋体" w:hAnsi="宋体" w:eastAsia="宋体" w:cs="Times New Roman"/>
          <w:highlight w:val="none"/>
        </w:rPr>
        <w:t>及各设备的通讯适配。</w:t>
      </w:r>
    </w:p>
    <w:p w14:paraId="45511F11">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6.4设备使用周期内，投标方免费派遣技术人员与招标方调试团队共同进行设备通讯接口的调试工作，确保数据传输准确、稳定。</w:t>
      </w:r>
    </w:p>
    <w:p w14:paraId="569965E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五、安全要求</w:t>
      </w:r>
    </w:p>
    <w:p w14:paraId="64F152EF">
      <w:pPr>
        <w:pStyle w:val="17"/>
        <w:shd w:val="clear" w:color="auto" w:fill="auto"/>
        <w:spacing w:line="360" w:lineRule="auto"/>
        <w:ind w:firstLine="480" w:firstLineChars="200"/>
        <w:rPr>
          <w:rFonts w:hint="eastAsia" w:hAnsi="宋体" w:eastAsia="宋体" w:cs="宋体"/>
          <w:sz w:val="24"/>
          <w:szCs w:val="24"/>
          <w:highlight w:val="none"/>
        </w:rPr>
      </w:pPr>
      <w:r>
        <w:rPr>
          <w:rFonts w:hint="eastAsia" w:hAnsi="宋体" w:eastAsia="宋体" w:cs="宋体"/>
          <w:sz w:val="24"/>
          <w:szCs w:val="24"/>
          <w:highlight w:val="none"/>
          <w:lang w:val="en-US" w:eastAsia="zh-CN"/>
        </w:rPr>
        <w:t>1、</w:t>
      </w:r>
      <w:r>
        <w:rPr>
          <w:rFonts w:hint="eastAsia" w:hAnsi="宋体" w:eastAsia="宋体" w:cs="宋体"/>
          <w:sz w:val="24"/>
          <w:szCs w:val="24"/>
          <w:highlight w:val="none"/>
        </w:rPr>
        <w:t>安全装置功能安全可靠：新增传送带、移动工具、拧紧定位工装等应具备防倾倒、防滑落功能；所有气动工具（如气动油压脉冲扳手）需配备安全泄压阀；激光打刻机需配备符合标准的防护罩及联锁装置。</w:t>
      </w:r>
    </w:p>
    <w:p w14:paraId="57192EAF">
      <w:pPr>
        <w:pStyle w:val="17"/>
        <w:shd w:val="clear" w:color="auto" w:fill="auto"/>
        <w:spacing w:line="360" w:lineRule="auto"/>
        <w:ind w:firstLine="480" w:firstLineChars="200"/>
        <w:rPr>
          <w:rFonts w:hint="eastAsia" w:hAnsi="宋体" w:eastAsia="宋体" w:cs="宋体"/>
          <w:sz w:val="24"/>
          <w:szCs w:val="24"/>
          <w:highlight w:val="none"/>
        </w:rPr>
      </w:pPr>
      <w:r>
        <w:rPr>
          <w:rFonts w:hint="eastAsia" w:hAnsi="宋体" w:eastAsia="宋体" w:cs="宋体"/>
          <w:sz w:val="24"/>
          <w:szCs w:val="24"/>
          <w:highlight w:val="none"/>
          <w:lang w:val="en-US" w:eastAsia="zh-CN"/>
        </w:rPr>
        <w:t>2、</w:t>
      </w:r>
      <w:r>
        <w:rPr>
          <w:rFonts w:hint="eastAsia" w:hAnsi="宋体" w:eastAsia="宋体" w:cs="宋体"/>
          <w:sz w:val="24"/>
          <w:szCs w:val="24"/>
          <w:highlight w:val="none"/>
        </w:rPr>
        <w:t>安全防护、环境保护、节能要求应满足ISO及国家相关标准，包括但不限于GB 5083《生产设备安全卫生设计总则》、GB/T 15706《机械安全 设计通则》、GB 7247《激光产品的安全》等。设备运行噪音、废气（如激光打刻烟尘）排放需符合国家环保要求，并配备相应的净化装置。</w:t>
      </w:r>
    </w:p>
    <w:p w14:paraId="2362DB3D">
      <w:pPr>
        <w:pStyle w:val="17"/>
        <w:shd w:val="clear" w:color="auto" w:fill="auto"/>
        <w:spacing w:line="360" w:lineRule="auto"/>
        <w:ind w:firstLine="480" w:firstLineChars="200"/>
        <w:rPr>
          <w:rFonts w:hint="eastAsia" w:hAnsi="宋体" w:eastAsia="宋体" w:cs="宋体"/>
          <w:sz w:val="24"/>
          <w:szCs w:val="24"/>
          <w:highlight w:val="none"/>
        </w:rPr>
      </w:pPr>
      <w:r>
        <w:rPr>
          <w:rFonts w:hint="eastAsia" w:hAnsi="宋体" w:eastAsia="宋体" w:cs="宋体"/>
          <w:sz w:val="24"/>
          <w:szCs w:val="24"/>
          <w:highlight w:val="none"/>
          <w:lang w:val="en-US" w:eastAsia="zh-CN"/>
        </w:rPr>
        <w:t>3、</w:t>
      </w:r>
      <w:r>
        <w:rPr>
          <w:rFonts w:hint="eastAsia" w:hAnsi="宋体" w:eastAsia="宋体" w:cs="宋体"/>
          <w:sz w:val="24"/>
          <w:szCs w:val="24"/>
          <w:highlight w:val="none"/>
        </w:rPr>
        <w:t>安全边界摄像头要求：为确保OP10-OP50产线人员安全，新增边缘AI视频监控系统。配置</w:t>
      </w:r>
      <w:r>
        <w:rPr>
          <w:rFonts w:hint="eastAsia" w:hAnsi="宋体" w:eastAsia="宋体" w:cs="宋体"/>
          <w:sz w:val="24"/>
          <w:szCs w:val="24"/>
          <w:highlight w:val="none"/>
          <w:lang w:val="en-US" w:eastAsia="zh-CN"/>
        </w:rPr>
        <w:t>2</w:t>
      </w:r>
      <w:r>
        <w:rPr>
          <w:rFonts w:hint="eastAsia" w:hAnsi="宋体" w:eastAsia="宋体" w:cs="宋体"/>
          <w:sz w:val="24"/>
          <w:szCs w:val="24"/>
          <w:highlight w:val="none"/>
        </w:rPr>
        <w:t>台工业级摄像机（≥800万像素，IP65，宽温工作），覆盖OP20-OP50机器人作业及装配区域。部署边缘AI网关（≥6TOPS算力），实现人员入侵实时识别（准确率≥96%，响应≤0.8秒）。支持分级报警联动语音告警器及三色灯，高风险时可暂停机器人。视频存储≥90天，报警抓拍与产品批次绑定，数据对接MES系统。网络采用六类屏蔽线，POE供电，支架304不锈钢。</w:t>
      </w:r>
    </w:p>
    <w:p w14:paraId="2477F81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六、供货要求</w:t>
      </w:r>
    </w:p>
    <w:p w14:paraId="596E5E12">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w:t>
      </w:r>
      <w:r>
        <w:rPr>
          <w:rFonts w:hint="eastAsia" w:hAnsi="宋体" w:cs="宋体"/>
          <w:sz w:val="24"/>
          <w:szCs w:val="24"/>
          <w:highlight w:val="none"/>
          <w:lang w:eastAsia="zh-CN"/>
        </w:rPr>
        <w:t>、</w:t>
      </w:r>
      <w:r>
        <w:rPr>
          <w:rFonts w:hint="eastAsia" w:hAnsi="宋体" w:cs="宋体"/>
          <w:sz w:val="24"/>
          <w:szCs w:val="24"/>
          <w:highlight w:val="none"/>
        </w:rPr>
        <w:t>供货范围包括货物维护维修所必需的专用工具；</w:t>
      </w:r>
    </w:p>
    <w:p w14:paraId="7CAD9557">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2</w:t>
      </w:r>
      <w:r>
        <w:rPr>
          <w:rFonts w:hint="eastAsia" w:hAnsi="宋体" w:cs="宋体"/>
          <w:sz w:val="24"/>
          <w:szCs w:val="24"/>
          <w:highlight w:val="none"/>
          <w:lang w:eastAsia="zh-CN"/>
        </w:rPr>
        <w:t>、</w:t>
      </w:r>
      <w:r>
        <w:rPr>
          <w:rFonts w:hint="eastAsia" w:hAnsi="宋体" w:cs="宋体"/>
          <w:sz w:val="24"/>
          <w:szCs w:val="24"/>
          <w:highlight w:val="none"/>
        </w:rPr>
        <w:t>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64ED793B">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3</w:t>
      </w:r>
      <w:r>
        <w:rPr>
          <w:rFonts w:hint="eastAsia" w:hAnsi="宋体" w:cs="宋体"/>
          <w:sz w:val="24"/>
          <w:szCs w:val="24"/>
          <w:highlight w:val="none"/>
          <w:lang w:eastAsia="zh-CN"/>
        </w:rPr>
        <w:t>、</w:t>
      </w:r>
      <w:r>
        <w:rPr>
          <w:rFonts w:hint="eastAsia" w:hAnsi="宋体" w:cs="宋体"/>
          <w:sz w:val="24"/>
          <w:szCs w:val="24"/>
          <w:highlight w:val="none"/>
        </w:rPr>
        <w:t>供货范围包括货物正常运行所必需的全套连线设备、材料等。如货物端连接法兰外端面之内的、电气系统接口压线板（插座等）之内的设备、材料、连接螺栓、垫片等；</w:t>
      </w:r>
    </w:p>
    <w:p w14:paraId="6AF3871A">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4</w:t>
      </w:r>
      <w:r>
        <w:rPr>
          <w:rFonts w:hint="eastAsia" w:hAnsi="宋体" w:cs="宋体"/>
          <w:sz w:val="24"/>
          <w:szCs w:val="24"/>
          <w:highlight w:val="none"/>
          <w:lang w:eastAsia="zh-CN"/>
        </w:rPr>
        <w:t>、</w:t>
      </w:r>
      <w:r>
        <w:rPr>
          <w:rFonts w:hint="eastAsia" w:hAnsi="宋体" w:cs="宋体"/>
          <w:sz w:val="24"/>
          <w:szCs w:val="24"/>
          <w:highlight w:val="none"/>
        </w:rPr>
        <w:t>供货范围包括货物正常运行、使用所需要的过桥、护栏、防护网、盖板等辅助设施；</w:t>
      </w:r>
    </w:p>
    <w:p w14:paraId="1C0E19B8">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5</w:t>
      </w:r>
      <w:r>
        <w:rPr>
          <w:rFonts w:hint="eastAsia" w:hAnsi="宋体" w:cs="宋体"/>
          <w:sz w:val="24"/>
          <w:szCs w:val="24"/>
          <w:highlight w:val="none"/>
          <w:lang w:eastAsia="zh-CN"/>
        </w:rPr>
        <w:t>、</w:t>
      </w:r>
      <w:r>
        <w:rPr>
          <w:rFonts w:hint="eastAsia" w:hAnsi="宋体" w:cs="宋体"/>
          <w:sz w:val="24"/>
          <w:szCs w:val="24"/>
          <w:highlight w:val="none"/>
        </w:rPr>
        <w:t>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113D82F4">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6</w:t>
      </w:r>
      <w:r>
        <w:rPr>
          <w:rFonts w:hint="eastAsia" w:hAnsi="宋体" w:cs="宋体"/>
          <w:sz w:val="24"/>
          <w:szCs w:val="24"/>
          <w:highlight w:val="none"/>
          <w:lang w:eastAsia="zh-CN"/>
        </w:rPr>
        <w:t>、</w:t>
      </w:r>
      <w:r>
        <w:rPr>
          <w:rFonts w:hint="eastAsia" w:hAnsi="宋体" w:cs="宋体"/>
          <w:sz w:val="24"/>
          <w:szCs w:val="24"/>
          <w:highlight w:val="none"/>
        </w:rPr>
        <w:t>供货范围包括易损件和专用耗材的制造图纸及其技术要求等资料；</w:t>
      </w:r>
    </w:p>
    <w:p w14:paraId="5399D6EE">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7</w:t>
      </w:r>
      <w:r>
        <w:rPr>
          <w:rFonts w:hint="eastAsia" w:hAnsi="宋体" w:cs="宋体"/>
          <w:sz w:val="24"/>
          <w:szCs w:val="24"/>
          <w:highlight w:val="none"/>
          <w:lang w:eastAsia="zh-CN"/>
        </w:rPr>
        <w:t>、</w:t>
      </w:r>
      <w:r>
        <w:rPr>
          <w:rFonts w:hint="eastAsia" w:hAnsi="宋体" w:cs="宋体"/>
          <w:sz w:val="24"/>
          <w:szCs w:val="24"/>
          <w:highlight w:val="none"/>
        </w:rPr>
        <w:t>在合同签订后15个日历日内，提供货物基础及相关的设计、制作所需的纸质及电子版资料；电子版文件应当能够使用常用版本软件可以阅读甚至使用，进口货物、设备应有中外文对照；</w:t>
      </w:r>
    </w:p>
    <w:p w14:paraId="6BE8F1F0">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8</w:t>
      </w:r>
      <w:r>
        <w:rPr>
          <w:rFonts w:hint="eastAsia" w:hAnsi="宋体" w:cs="宋体"/>
          <w:sz w:val="24"/>
          <w:szCs w:val="24"/>
          <w:highlight w:val="none"/>
          <w:lang w:eastAsia="zh-CN"/>
        </w:rPr>
        <w:t>、</w:t>
      </w:r>
      <w:r>
        <w:rPr>
          <w:rFonts w:hint="eastAsia" w:hAnsi="宋体" w:cs="宋体"/>
          <w:sz w:val="24"/>
          <w:szCs w:val="24"/>
          <w:highlight w:val="none"/>
        </w:rPr>
        <w:t>在预验收前，提供货物各部分的功能描述文件、图片、影像等资料（进口、设备应有中外文对照）；</w:t>
      </w:r>
    </w:p>
    <w:p w14:paraId="763E11B5">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9</w:t>
      </w:r>
      <w:r>
        <w:rPr>
          <w:rFonts w:hint="eastAsia" w:hAnsi="宋体" w:cs="宋体"/>
          <w:sz w:val="24"/>
          <w:szCs w:val="24"/>
          <w:highlight w:val="none"/>
          <w:lang w:eastAsia="zh-CN"/>
        </w:rPr>
        <w:t>、</w:t>
      </w:r>
      <w:r>
        <w:rPr>
          <w:rFonts w:hint="eastAsia" w:hAnsi="宋体" w:cs="宋体"/>
          <w:sz w:val="24"/>
          <w:szCs w:val="24"/>
          <w:highlight w:val="none"/>
        </w:rPr>
        <w:t>在终验收前，提供为保证货物后续正常运行所需的工装、吊（挂）具明细及其图纸、具体技术要求等资料（如果供货范围包含该部分实物）；</w:t>
      </w:r>
    </w:p>
    <w:p w14:paraId="381A2401">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10</w:t>
      </w:r>
      <w:r>
        <w:rPr>
          <w:rFonts w:hint="eastAsia" w:hAnsi="宋体" w:cs="宋体"/>
          <w:sz w:val="24"/>
          <w:szCs w:val="24"/>
          <w:highlight w:val="none"/>
          <w:lang w:eastAsia="zh-CN"/>
        </w:rPr>
        <w:t>、</w:t>
      </w:r>
      <w:r>
        <w:rPr>
          <w:rFonts w:hint="eastAsia" w:hAnsi="宋体" w:cs="宋体"/>
          <w:sz w:val="24"/>
          <w:szCs w:val="24"/>
          <w:highlight w:val="none"/>
        </w:rPr>
        <w:t>在终验收前，提供确定的维修所需要且</w:t>
      </w:r>
      <w:r>
        <w:rPr>
          <w:rFonts w:hint="eastAsia" w:hAnsi="宋体" w:cs="宋体"/>
          <w:sz w:val="24"/>
          <w:szCs w:val="24"/>
          <w:highlight w:val="none"/>
          <w:lang w:eastAsia="zh-CN"/>
        </w:rPr>
        <w:t>招标方</w:t>
      </w:r>
      <w:r>
        <w:rPr>
          <w:rFonts w:hint="eastAsia" w:hAnsi="宋体" w:cs="宋体"/>
          <w:sz w:val="24"/>
          <w:szCs w:val="24"/>
          <w:highlight w:val="none"/>
        </w:rPr>
        <w:t>可以自行采购的外购件、外协件、电气元件及主要原材料的供货厂家明细表；</w:t>
      </w:r>
    </w:p>
    <w:p w14:paraId="301CB4F9">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11</w:t>
      </w:r>
      <w:r>
        <w:rPr>
          <w:rFonts w:hint="eastAsia" w:hAnsi="宋体" w:cs="宋体"/>
          <w:sz w:val="24"/>
          <w:szCs w:val="24"/>
          <w:highlight w:val="none"/>
          <w:lang w:eastAsia="zh-CN"/>
        </w:rPr>
        <w:t>、</w:t>
      </w:r>
      <w:r>
        <w:rPr>
          <w:rFonts w:hint="eastAsia" w:hAnsi="宋体" w:cs="宋体"/>
          <w:sz w:val="24"/>
          <w:szCs w:val="24"/>
          <w:highlight w:val="none"/>
        </w:rPr>
        <w:t>在终验收后、终验收后的第一笔货款支付日之前，提供包括货物的备品备件、易损件和专用耗材的图纸及技术参数、技术要求等资料；</w:t>
      </w:r>
    </w:p>
    <w:p w14:paraId="373381A6">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12</w:t>
      </w:r>
      <w:r>
        <w:rPr>
          <w:rFonts w:hint="eastAsia" w:hAnsi="宋体" w:cs="宋体"/>
          <w:sz w:val="24"/>
          <w:szCs w:val="24"/>
          <w:highlight w:val="none"/>
          <w:lang w:eastAsia="zh-CN"/>
        </w:rPr>
        <w:t>、</w:t>
      </w:r>
      <w:r>
        <w:rPr>
          <w:rFonts w:hint="eastAsia" w:hAnsi="宋体" w:cs="宋体"/>
          <w:sz w:val="24"/>
          <w:szCs w:val="24"/>
          <w:highlight w:val="none"/>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7A803E0">
      <w:pPr>
        <w:pStyle w:val="17"/>
        <w:shd w:val="clear" w:color="auto" w:fill="auto"/>
        <w:spacing w:line="360" w:lineRule="auto"/>
        <w:ind w:firstLine="480" w:firstLineChars="200"/>
        <w:rPr>
          <w:rFonts w:hAnsi="宋体" w:cs="宋体"/>
          <w:color w:val="000000"/>
          <w:sz w:val="24"/>
          <w:szCs w:val="24"/>
          <w:highlight w:val="none"/>
        </w:rPr>
      </w:pPr>
      <w:r>
        <w:rPr>
          <w:rFonts w:hint="eastAsia" w:hAnsi="宋体" w:cs="宋体"/>
          <w:sz w:val="24"/>
          <w:szCs w:val="24"/>
          <w:highlight w:val="none"/>
        </w:rPr>
        <w:t>13</w:t>
      </w:r>
      <w:r>
        <w:rPr>
          <w:rFonts w:hint="eastAsia" w:hAnsi="宋体" w:cs="宋体"/>
          <w:sz w:val="24"/>
          <w:szCs w:val="24"/>
          <w:highlight w:val="none"/>
          <w:lang w:eastAsia="zh-CN"/>
        </w:rPr>
        <w:t>、</w:t>
      </w:r>
      <w:r>
        <w:rPr>
          <w:rFonts w:hint="eastAsia" w:hAnsi="宋体" w:cs="宋体"/>
          <w:sz w:val="24"/>
          <w:szCs w:val="24"/>
          <w:highlight w:val="none"/>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hAnsi="宋体" w:cs="宋体"/>
          <w:color w:val="000000"/>
          <w:sz w:val="24"/>
          <w:szCs w:val="24"/>
          <w:highlight w:val="none"/>
        </w:rPr>
        <w:t>项目所涉及的设备和电气程序需开源不得加密。</w:t>
      </w:r>
    </w:p>
    <w:p w14:paraId="0FC1FED9">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14</w:t>
      </w:r>
      <w:r>
        <w:rPr>
          <w:rFonts w:hint="eastAsia" w:hAnsi="宋体" w:cs="宋体"/>
          <w:sz w:val="24"/>
          <w:szCs w:val="24"/>
          <w:highlight w:val="none"/>
          <w:lang w:eastAsia="zh-CN"/>
        </w:rPr>
        <w:t>、</w:t>
      </w:r>
      <w:r>
        <w:rPr>
          <w:rFonts w:hint="eastAsia" w:hAnsi="宋体" w:cs="宋体"/>
          <w:sz w:val="24"/>
          <w:szCs w:val="24"/>
          <w:highlight w:val="none"/>
        </w:rPr>
        <w:t>本条款所列的技术资料、图片、影像等，投标方应各提供5套，每份技术文件应装有目录清单；</w:t>
      </w:r>
    </w:p>
    <w:p w14:paraId="53925B8B">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15</w:t>
      </w:r>
      <w:r>
        <w:rPr>
          <w:rFonts w:hint="eastAsia" w:hAnsi="宋体" w:cs="宋体"/>
          <w:sz w:val="24"/>
          <w:szCs w:val="24"/>
          <w:highlight w:val="none"/>
          <w:lang w:eastAsia="zh-CN"/>
        </w:rPr>
        <w:t>、</w:t>
      </w:r>
      <w:r>
        <w:rPr>
          <w:rFonts w:hint="eastAsia" w:hAnsi="宋体" w:cs="宋体"/>
          <w:sz w:val="24"/>
          <w:szCs w:val="24"/>
          <w:highlight w:val="none"/>
        </w:rPr>
        <w:t>全部供货范围内的设备、材料、零配件和工器具等，除合同特别约定外，其质保期均至终验收签字生效之日起12个月；</w:t>
      </w:r>
    </w:p>
    <w:p w14:paraId="76120B1E">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16</w:t>
      </w:r>
      <w:r>
        <w:rPr>
          <w:rFonts w:hint="eastAsia" w:hAnsi="宋体" w:cs="宋体"/>
          <w:sz w:val="24"/>
          <w:szCs w:val="24"/>
          <w:highlight w:val="none"/>
          <w:lang w:eastAsia="zh-CN"/>
        </w:rPr>
        <w:t>、</w:t>
      </w:r>
      <w:r>
        <w:rPr>
          <w:rFonts w:hint="eastAsia" w:hAnsi="宋体" w:cs="宋体"/>
          <w:sz w:val="24"/>
          <w:szCs w:val="24"/>
          <w:highlight w:val="none"/>
        </w:rPr>
        <w:t>投标货物或涉及的关键总成和零件，如果有更长时间质保期，允许更改并说明，此将有利于投标方；</w:t>
      </w:r>
    </w:p>
    <w:p w14:paraId="54A040AF">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17</w:t>
      </w:r>
      <w:r>
        <w:rPr>
          <w:rFonts w:hint="eastAsia" w:hAnsi="宋体" w:cs="宋体"/>
          <w:sz w:val="24"/>
          <w:szCs w:val="24"/>
          <w:highlight w:val="none"/>
          <w:lang w:eastAsia="zh-CN"/>
        </w:rPr>
        <w:t>、</w:t>
      </w:r>
      <w:r>
        <w:rPr>
          <w:rFonts w:hint="eastAsia" w:hAnsi="宋体" w:cs="宋体"/>
          <w:sz w:val="24"/>
          <w:szCs w:val="24"/>
          <w:highlight w:val="none"/>
        </w:rPr>
        <w:t>设计使用寿命短于质保期的易损件除外，但属于易损件的，应当有明确说明；</w:t>
      </w:r>
    </w:p>
    <w:p w14:paraId="4F48D135">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18</w:t>
      </w:r>
      <w:r>
        <w:rPr>
          <w:rFonts w:hint="eastAsia" w:hAnsi="宋体" w:cs="宋体"/>
          <w:sz w:val="24"/>
          <w:szCs w:val="24"/>
          <w:highlight w:val="none"/>
          <w:lang w:eastAsia="zh-CN"/>
        </w:rPr>
        <w:t>、</w:t>
      </w:r>
      <w:r>
        <w:rPr>
          <w:rFonts w:hint="eastAsia" w:hAnsi="宋体" w:cs="宋体"/>
          <w:sz w:val="24"/>
          <w:szCs w:val="24"/>
          <w:highlight w:val="none"/>
        </w:rPr>
        <w:t>质保期之内，如果出现设备、总成、关键零部件或者多处一般零部件的更换或维修行为，则质保期自更换或维修行为结束、货物重新正常运行使用之日起重新计算；</w:t>
      </w:r>
    </w:p>
    <w:p w14:paraId="747AD099">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19</w:t>
      </w:r>
      <w:r>
        <w:rPr>
          <w:rFonts w:hint="eastAsia" w:hAnsi="宋体" w:cs="宋体"/>
          <w:sz w:val="24"/>
          <w:szCs w:val="24"/>
          <w:highlight w:val="none"/>
          <w:lang w:eastAsia="zh-CN"/>
        </w:rPr>
        <w:t>、</w:t>
      </w:r>
      <w:r>
        <w:rPr>
          <w:rFonts w:hint="eastAsia" w:hAnsi="宋体" w:cs="宋体"/>
          <w:sz w:val="24"/>
          <w:szCs w:val="24"/>
          <w:highlight w:val="none"/>
        </w:rPr>
        <w:t>质保期内免费提供零部件和及时有效的服务。质保期内因货物本身缺陷造成的各种故障，卖方应负责免费维修和服务；</w:t>
      </w:r>
    </w:p>
    <w:p w14:paraId="305BE646">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20</w:t>
      </w:r>
      <w:r>
        <w:rPr>
          <w:rFonts w:hint="eastAsia" w:hAnsi="宋体" w:cs="宋体"/>
          <w:sz w:val="24"/>
          <w:szCs w:val="24"/>
          <w:highlight w:val="none"/>
          <w:lang w:eastAsia="zh-CN"/>
        </w:rPr>
        <w:t>、</w:t>
      </w:r>
      <w:r>
        <w:rPr>
          <w:rFonts w:hint="eastAsia" w:hAnsi="宋体" w:cs="宋体"/>
          <w:sz w:val="24"/>
          <w:szCs w:val="24"/>
          <w:highlight w:val="none"/>
        </w:rPr>
        <w:t>质保期终止之日起一年内重复出现的质保期之内出现的故障，仍属于质保范围而且应当免费；</w:t>
      </w:r>
    </w:p>
    <w:p w14:paraId="2151C2B5">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21</w:t>
      </w:r>
      <w:r>
        <w:rPr>
          <w:rFonts w:hint="eastAsia" w:hAnsi="宋体" w:cs="宋体"/>
          <w:sz w:val="24"/>
          <w:szCs w:val="24"/>
          <w:highlight w:val="none"/>
          <w:lang w:eastAsia="zh-CN"/>
        </w:rPr>
        <w:t>、</w:t>
      </w:r>
      <w:r>
        <w:rPr>
          <w:rFonts w:hint="eastAsia" w:hAnsi="宋体" w:cs="宋体"/>
          <w:sz w:val="24"/>
          <w:szCs w:val="24"/>
          <w:highlight w:val="none"/>
        </w:rPr>
        <w:t>本条款所列要求，如招标方认为投标方提供的资料不能满足要求时，有权要求投标方免费补充或增加；</w:t>
      </w:r>
    </w:p>
    <w:p w14:paraId="183554BF">
      <w:pPr>
        <w:pStyle w:val="17"/>
        <w:shd w:val="clear" w:color="auto" w:fill="auto"/>
        <w:spacing w:line="360" w:lineRule="auto"/>
        <w:ind w:firstLine="480" w:firstLineChars="200"/>
        <w:rPr>
          <w:rFonts w:ascii="Cambria Math" w:hAnsi="Cambria Math"/>
          <w:sz w:val="24"/>
          <w:szCs w:val="24"/>
          <w:highlight w:val="none"/>
        </w:rPr>
      </w:pPr>
      <w:r>
        <w:rPr>
          <w:rFonts w:hint="eastAsia" w:hAnsi="宋体" w:cs="宋体"/>
          <w:sz w:val="24"/>
          <w:szCs w:val="24"/>
          <w:highlight w:val="none"/>
        </w:rPr>
        <w:t>22</w:t>
      </w:r>
      <w:r>
        <w:rPr>
          <w:rFonts w:hint="eastAsia" w:hAnsi="宋体" w:cs="宋体"/>
          <w:sz w:val="24"/>
          <w:szCs w:val="24"/>
          <w:highlight w:val="none"/>
          <w:lang w:eastAsia="zh-CN"/>
        </w:rPr>
        <w:t>、</w:t>
      </w:r>
      <w:r>
        <w:rPr>
          <w:rFonts w:hint="eastAsia" w:ascii="Cambria Math" w:hAnsi="Cambria Math"/>
          <w:sz w:val="24"/>
          <w:szCs w:val="24"/>
          <w:highlight w:val="none"/>
        </w:rPr>
        <w:t>本项目需在接到中标通知起</w:t>
      </w:r>
      <w:r>
        <w:rPr>
          <w:rFonts w:hint="eastAsia" w:ascii="Cambria Math" w:hAnsi="Cambria Math"/>
          <w:sz w:val="24"/>
          <w:szCs w:val="24"/>
          <w:highlight w:val="none"/>
          <w:lang w:val="en-US" w:eastAsia="zh-CN"/>
        </w:rPr>
        <w:t>5</w:t>
      </w:r>
      <w:r>
        <w:rPr>
          <w:rFonts w:hint="eastAsia" w:ascii="Cambria Math" w:hAnsi="Cambria Math"/>
          <w:sz w:val="24"/>
          <w:szCs w:val="24"/>
          <w:highlight w:val="none"/>
          <w:shd w:val="clear" w:color="FFFFFF" w:fill="D9D9D9"/>
        </w:rPr>
        <w:t>0</w:t>
      </w:r>
      <w:r>
        <w:rPr>
          <w:rFonts w:hint="eastAsia" w:ascii="Cambria Math" w:hAnsi="Cambria Math"/>
          <w:sz w:val="24"/>
          <w:szCs w:val="24"/>
          <w:highlight w:val="none"/>
        </w:rPr>
        <w:t>个日历日内完成发货，到货后</w:t>
      </w:r>
      <w:r>
        <w:rPr>
          <w:rFonts w:hint="eastAsia" w:ascii="Cambria Math" w:hAnsi="Cambria Math"/>
          <w:sz w:val="24"/>
          <w:szCs w:val="24"/>
          <w:highlight w:val="none"/>
          <w:shd w:val="clear" w:color="FFFFFF" w:fill="D9D9D9"/>
        </w:rPr>
        <w:t>1</w:t>
      </w:r>
      <w:r>
        <w:rPr>
          <w:rFonts w:hint="eastAsia" w:ascii="Cambria Math" w:hAnsi="Cambria Math"/>
          <w:sz w:val="24"/>
          <w:szCs w:val="24"/>
          <w:highlight w:val="none"/>
          <w:shd w:val="clear" w:color="FFFFFF" w:fill="D9D9D9"/>
          <w:lang w:val="en-US" w:eastAsia="zh-CN"/>
        </w:rPr>
        <w:t>5</w:t>
      </w:r>
      <w:r>
        <w:rPr>
          <w:rFonts w:hint="eastAsia" w:ascii="Cambria Math" w:hAnsi="Cambria Math"/>
          <w:sz w:val="24"/>
          <w:szCs w:val="24"/>
          <w:highlight w:val="none"/>
        </w:rPr>
        <w:t>个日历日内完成安装。卖方应根据该时间节点制定一个详细的、确保可行的设计制造时间进度表，时间表应着重标出重点时间节点。</w:t>
      </w:r>
    </w:p>
    <w:p w14:paraId="289555E3">
      <w:pPr>
        <w:pStyle w:val="17"/>
        <w:shd w:val="clear" w:color="auto" w:fill="auto"/>
        <w:spacing w:line="360" w:lineRule="auto"/>
        <w:ind w:firstLine="480" w:firstLineChars="200"/>
        <w:rPr>
          <w:rFonts w:ascii="Cambria Math" w:hAnsi="Cambria Math"/>
          <w:sz w:val="24"/>
          <w:szCs w:val="24"/>
          <w:highlight w:val="none"/>
        </w:rPr>
      </w:pPr>
      <w:r>
        <w:rPr>
          <w:rFonts w:hint="eastAsia" w:ascii="Cambria Math" w:hAnsi="Cambria Math"/>
          <w:sz w:val="24"/>
          <w:szCs w:val="24"/>
          <w:highlight w:val="none"/>
        </w:rPr>
        <w:t>23</w:t>
      </w:r>
      <w:r>
        <w:rPr>
          <w:rFonts w:hint="eastAsia" w:ascii="Cambria Math" w:hAnsi="Cambria Math"/>
          <w:sz w:val="24"/>
          <w:szCs w:val="24"/>
          <w:highlight w:val="none"/>
          <w:lang w:eastAsia="zh-CN"/>
        </w:rPr>
        <w:t>、</w:t>
      </w:r>
      <w:r>
        <w:rPr>
          <w:rFonts w:hint="eastAsia" w:ascii="Cambria Math" w:hAnsi="Cambria Math"/>
          <w:sz w:val="24"/>
          <w:szCs w:val="24"/>
          <w:highlight w:val="none"/>
        </w:rPr>
        <w:t>全部供货范围内的设备、材料、零配件和工器具等，除合同特别约定外，其质保期均自终验收签字生效之日起</w:t>
      </w:r>
      <w:r>
        <w:rPr>
          <w:rFonts w:hint="eastAsia" w:ascii="Cambria Math" w:hAnsi="Cambria Math"/>
          <w:sz w:val="24"/>
          <w:szCs w:val="24"/>
          <w:highlight w:val="none"/>
          <w:shd w:val="pct10" w:color="auto" w:fill="FFFFFF"/>
        </w:rPr>
        <w:t>12</w:t>
      </w:r>
      <w:r>
        <w:rPr>
          <w:rFonts w:hint="eastAsia" w:ascii="Cambria Math" w:hAnsi="Cambria Math"/>
          <w:sz w:val="24"/>
          <w:szCs w:val="24"/>
          <w:highlight w:val="none"/>
        </w:rPr>
        <w:t>个月。</w:t>
      </w:r>
    </w:p>
    <w:p w14:paraId="6A57C67E">
      <w:pPr>
        <w:shd w:val="clear" w:color="auto" w:fill="auto"/>
        <w:spacing w:line="480" w:lineRule="exact"/>
        <w:ind w:firstLine="420" w:firstLineChars="200"/>
        <w:rPr>
          <w:rFonts w:ascii="Cambria Math" w:hAnsi="Cambria Math"/>
          <w:highlight w:val="none"/>
        </w:rPr>
      </w:pPr>
      <w:r>
        <w:rPr>
          <w:rFonts w:hint="eastAsia" w:ascii="Cambria Math" w:hAnsi="Cambria Math"/>
          <w:highlight w:val="none"/>
        </w:rPr>
        <w:t>24</w:t>
      </w:r>
      <w:r>
        <w:rPr>
          <w:rFonts w:hint="eastAsia" w:ascii="Cambria Math" w:hAnsi="Cambria Math"/>
          <w:highlight w:val="none"/>
          <w:lang w:eastAsia="zh-CN"/>
        </w:rPr>
        <w:t>、</w:t>
      </w:r>
      <w:r>
        <w:rPr>
          <w:rFonts w:hint="eastAsia" w:ascii="Cambria Math" w:hAnsi="Cambria Math"/>
          <w:highlight w:val="none"/>
        </w:rPr>
        <w:t>质保期之内，如果设备出现设备、总成、关键零部件或者多处一般零部件的更换或维修行为，则质保期自更换或维修行为结束、设备重新正常运行使用之日起重新计算。</w:t>
      </w:r>
    </w:p>
    <w:p w14:paraId="6EF792C3">
      <w:pPr>
        <w:pStyle w:val="17"/>
        <w:shd w:val="clear" w:color="auto" w:fill="auto"/>
        <w:spacing w:line="360" w:lineRule="auto"/>
        <w:ind w:firstLine="480" w:firstLineChars="200"/>
        <w:rPr>
          <w:rFonts w:ascii="Cambria Math" w:hAnsi="Cambria Math"/>
          <w:sz w:val="24"/>
          <w:szCs w:val="24"/>
          <w:highlight w:val="none"/>
        </w:rPr>
      </w:pPr>
      <w:r>
        <w:rPr>
          <w:rFonts w:hint="eastAsia" w:ascii="Cambria Math" w:hAnsi="Cambria Math"/>
          <w:sz w:val="24"/>
          <w:szCs w:val="24"/>
          <w:highlight w:val="none"/>
        </w:rPr>
        <w:t>25</w:t>
      </w:r>
      <w:r>
        <w:rPr>
          <w:rFonts w:hint="eastAsia" w:ascii="Cambria Math" w:hAnsi="Cambria Math"/>
          <w:sz w:val="24"/>
          <w:szCs w:val="24"/>
          <w:highlight w:val="none"/>
          <w:lang w:eastAsia="zh-CN"/>
        </w:rPr>
        <w:t>、</w:t>
      </w:r>
      <w:r>
        <w:rPr>
          <w:rFonts w:hint="eastAsia" w:ascii="Cambria Math" w:hAnsi="Cambria Math"/>
          <w:sz w:val="24"/>
          <w:szCs w:val="24"/>
          <w:highlight w:val="none"/>
        </w:rPr>
        <w:t>质保期内免费提供零部件和及时有效的服务。质保期内因货物本身缺陷造成的各种故障，卖方应负责免费维修和服务。</w:t>
      </w:r>
    </w:p>
    <w:p w14:paraId="74235AE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七、售中售后服务</w:t>
      </w:r>
    </w:p>
    <w:p w14:paraId="7F9FB950">
      <w:pPr>
        <w:shd w:val="clear" w:color="auto" w:fill="auto"/>
        <w:adjustRightInd w:val="0"/>
        <w:snapToGrid w:val="0"/>
        <w:spacing w:line="460" w:lineRule="exact"/>
        <w:ind w:firstLine="420" w:firstLineChars="200"/>
        <w:rPr>
          <w:rFonts w:ascii="Cambria Math" w:hAnsi="Cambria Math"/>
          <w:highlight w:val="none"/>
        </w:rPr>
      </w:pPr>
      <w:r>
        <w:rPr>
          <w:rFonts w:hint="eastAsia" w:ascii="Cambria Math" w:hAnsi="Cambria Math"/>
          <w:highlight w:val="none"/>
        </w:rPr>
        <w:t>1</w:t>
      </w:r>
      <w:r>
        <w:rPr>
          <w:rFonts w:hint="eastAsia" w:ascii="Cambria Math" w:hAnsi="Cambria Math"/>
          <w:highlight w:val="none"/>
          <w:lang w:eastAsia="zh-CN"/>
        </w:rPr>
        <w:t>、</w:t>
      </w:r>
      <w:r>
        <w:rPr>
          <w:rFonts w:hint="eastAsia" w:ascii="Cambria Math" w:hAnsi="Cambria Math"/>
          <w:highlight w:val="none"/>
        </w:rPr>
        <w:t>应负责对</w:t>
      </w:r>
      <w:r>
        <w:rPr>
          <w:rFonts w:hint="eastAsia" w:ascii="Cambria Math" w:hAnsi="Cambria Math"/>
          <w:highlight w:val="none"/>
          <w:lang w:eastAsia="zh-CN"/>
        </w:rPr>
        <w:t>招标方</w:t>
      </w:r>
      <w:r>
        <w:rPr>
          <w:rFonts w:hint="eastAsia" w:ascii="Cambria Math" w:hAnsi="Cambria Math"/>
          <w:highlight w:val="none"/>
        </w:rPr>
        <w:t>技术、维修和操作人员提供免费的、卖方生产制造现场的理论、技术和操作、维修等方面的技术指导和培训。</w:t>
      </w:r>
    </w:p>
    <w:p w14:paraId="1722C6F0">
      <w:pPr>
        <w:shd w:val="clear" w:color="auto" w:fill="auto"/>
        <w:adjustRightInd w:val="0"/>
        <w:snapToGrid w:val="0"/>
        <w:spacing w:line="460" w:lineRule="exact"/>
        <w:ind w:firstLine="420" w:firstLineChars="200"/>
        <w:rPr>
          <w:rFonts w:ascii="Cambria Math" w:hAnsi="Cambria Math"/>
          <w:highlight w:val="none"/>
        </w:rPr>
      </w:pPr>
      <w:r>
        <w:rPr>
          <w:rFonts w:hint="eastAsia" w:ascii="Cambria Math" w:hAnsi="Cambria Math"/>
          <w:highlight w:val="none"/>
        </w:rPr>
        <w:t>2</w:t>
      </w:r>
      <w:r>
        <w:rPr>
          <w:rFonts w:hint="eastAsia" w:ascii="Cambria Math" w:hAnsi="Cambria Math"/>
          <w:highlight w:val="none"/>
          <w:lang w:eastAsia="zh-CN"/>
        </w:rPr>
        <w:t>、</w:t>
      </w:r>
      <w:r>
        <w:rPr>
          <w:rFonts w:hint="eastAsia" w:ascii="Cambria Math" w:hAnsi="Cambria Math"/>
          <w:highlight w:val="none"/>
        </w:rPr>
        <w:t>应负责在</w:t>
      </w:r>
      <w:r>
        <w:rPr>
          <w:rFonts w:hint="eastAsia" w:ascii="Cambria Math" w:hAnsi="Cambria Math"/>
          <w:highlight w:val="none"/>
          <w:lang w:eastAsia="zh-CN"/>
        </w:rPr>
        <w:t>招标方</w:t>
      </w:r>
      <w:r>
        <w:rPr>
          <w:rFonts w:hint="eastAsia" w:ascii="Cambria Math" w:hAnsi="Cambria Math"/>
          <w:highlight w:val="none"/>
        </w:rPr>
        <w:t>设备使用现场，进行5工作日免费的技术指导和培训。</w:t>
      </w:r>
    </w:p>
    <w:p w14:paraId="6449C1E9">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3</w:t>
      </w:r>
      <w:r>
        <w:rPr>
          <w:rFonts w:hint="eastAsia" w:ascii="Cambria Math" w:hAnsi="Cambria Math"/>
          <w:highlight w:val="none"/>
          <w:lang w:eastAsia="zh-CN"/>
        </w:rPr>
        <w:t>、</w:t>
      </w:r>
      <w:r>
        <w:rPr>
          <w:rFonts w:hint="eastAsia" w:ascii="Cambria Math" w:hAnsi="Cambria Math"/>
          <w:highlight w:val="none"/>
        </w:rPr>
        <w:t>应免费提供培训资料2份。</w:t>
      </w:r>
    </w:p>
    <w:p w14:paraId="37C757E2">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4</w:t>
      </w:r>
      <w:r>
        <w:rPr>
          <w:rFonts w:hint="eastAsia" w:ascii="Cambria Math" w:hAnsi="Cambria Math"/>
          <w:highlight w:val="none"/>
          <w:lang w:eastAsia="zh-CN"/>
        </w:rPr>
        <w:t>、</w:t>
      </w:r>
      <w:r>
        <w:rPr>
          <w:rFonts w:hint="eastAsia" w:ascii="Cambria Math" w:hAnsi="Cambria Math"/>
          <w:highlight w:val="none"/>
        </w:rPr>
        <w:t>应按要求免费积极协助和提供</w:t>
      </w:r>
      <w:r>
        <w:rPr>
          <w:rFonts w:hint="eastAsia" w:ascii="Cambria Math" w:hAnsi="Cambria Math"/>
          <w:highlight w:val="none"/>
          <w:lang w:eastAsia="zh-CN"/>
        </w:rPr>
        <w:t>招标方</w:t>
      </w:r>
      <w:r>
        <w:rPr>
          <w:rFonts w:hint="eastAsia" w:ascii="Cambria Math" w:hAnsi="Cambria Math"/>
          <w:highlight w:val="none"/>
        </w:rPr>
        <w:t>以及</w:t>
      </w:r>
      <w:r>
        <w:rPr>
          <w:rFonts w:hint="eastAsia" w:ascii="Cambria Math" w:hAnsi="Cambria Math"/>
          <w:highlight w:val="none"/>
          <w:lang w:eastAsia="zh-CN"/>
        </w:rPr>
        <w:t>招标方</w:t>
      </w:r>
      <w:r>
        <w:rPr>
          <w:rFonts w:hint="eastAsia" w:ascii="Cambria Math" w:hAnsi="Cambria Math"/>
          <w:highlight w:val="none"/>
        </w:rPr>
        <w:t>所委托的工程设计单位有关人员所需要的、与设备有关的工程设计资料、技术咨询等</w:t>
      </w:r>
    </w:p>
    <w:p w14:paraId="4D4FCC6F">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5</w:t>
      </w:r>
      <w:r>
        <w:rPr>
          <w:rFonts w:hint="eastAsia" w:ascii="Cambria Math" w:hAnsi="Cambria Math"/>
          <w:highlight w:val="none"/>
          <w:lang w:eastAsia="zh-CN"/>
        </w:rPr>
        <w:t>、</w:t>
      </w:r>
      <w:r>
        <w:rPr>
          <w:rFonts w:hint="eastAsia" w:ascii="Cambria Math" w:hAnsi="Cambria Math"/>
          <w:highlight w:val="none"/>
        </w:rPr>
        <w:t>若卖方提供的设备涉及到外购外协货物、而且该货物的技术质量等较为关键时，卖方应能保证得到配套厂家的技术支持，并免费为</w:t>
      </w:r>
      <w:r>
        <w:rPr>
          <w:rFonts w:hint="eastAsia" w:ascii="Cambria Math" w:hAnsi="Cambria Math"/>
          <w:highlight w:val="none"/>
          <w:lang w:eastAsia="zh-CN"/>
        </w:rPr>
        <w:t>招标方</w:t>
      </w:r>
      <w:r>
        <w:rPr>
          <w:rFonts w:hint="eastAsia" w:ascii="Cambria Math" w:hAnsi="Cambria Math"/>
          <w:highlight w:val="none"/>
        </w:rPr>
        <w:t>提供技术服务。</w:t>
      </w:r>
    </w:p>
    <w:p w14:paraId="5758959A">
      <w:pPr>
        <w:shd w:val="clear" w:color="auto" w:fill="auto"/>
        <w:adjustRightInd w:val="0"/>
        <w:snapToGrid w:val="0"/>
        <w:spacing w:line="460" w:lineRule="exact"/>
        <w:ind w:firstLine="420" w:firstLineChars="200"/>
        <w:rPr>
          <w:rFonts w:hint="eastAsia" w:ascii="黑体" w:hAnsi="黑体" w:eastAsia="黑体" w:cs="Times New Roman"/>
          <w:b/>
          <w:bCs/>
          <w:kern w:val="2"/>
          <w:sz w:val="28"/>
          <w:szCs w:val="28"/>
          <w:lang w:val="en-US" w:eastAsia="zh-CN" w:bidi="ar-SA"/>
        </w:rPr>
      </w:pPr>
      <w:r>
        <w:rPr>
          <w:rFonts w:ascii="Cambria Math" w:hAnsi="Cambria Math"/>
          <w:highlight w:val="none"/>
        </w:rPr>
        <w:t>6</w:t>
      </w:r>
      <w:r>
        <w:rPr>
          <w:rFonts w:hint="eastAsia" w:ascii="Cambria Math" w:hAnsi="Cambria Math"/>
          <w:highlight w:val="none"/>
          <w:lang w:eastAsia="zh-CN"/>
        </w:rPr>
        <w:t>、</w:t>
      </w:r>
      <w:r>
        <w:rPr>
          <w:rFonts w:hint="eastAsia" w:ascii="Cambria Math" w:hAnsi="Cambria Math"/>
          <w:highlight w:val="none"/>
        </w:rPr>
        <w:t>负责制定对</w:t>
      </w:r>
      <w:r>
        <w:rPr>
          <w:rFonts w:hint="eastAsia" w:ascii="Cambria Math" w:hAnsi="Cambria Math"/>
          <w:highlight w:val="none"/>
          <w:lang w:eastAsia="zh-CN"/>
        </w:rPr>
        <w:t>招标方</w:t>
      </w:r>
      <w:r>
        <w:rPr>
          <w:rFonts w:hint="eastAsia" w:ascii="Cambria Math" w:hAnsi="Cambria Math"/>
          <w:highlight w:val="none"/>
        </w:rPr>
        <w:t>人员在运行、维修等方面的培训计划，并有专人负责实施培训计划，负责指导</w:t>
      </w:r>
      <w:r>
        <w:rPr>
          <w:rFonts w:hint="eastAsia" w:ascii="Cambria Math" w:hAnsi="Cambria Math"/>
          <w:highlight w:val="none"/>
          <w:lang w:eastAsia="zh-CN"/>
        </w:rPr>
        <w:t>招标方</w:t>
      </w:r>
      <w:r>
        <w:rPr>
          <w:rFonts w:hint="eastAsia" w:ascii="Cambria Math" w:hAnsi="Cambria Math"/>
          <w:highlight w:val="none"/>
        </w:rPr>
        <w:t>受培训人员正确理解设计和制造意图，认识设备的特点和特性，掌握在运行、维修和使用管理中应遵守的规则等方面的综合知识。</w:t>
      </w:r>
    </w:p>
    <w:p w14:paraId="3BF23B1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八、其他</w:t>
      </w:r>
    </w:p>
    <w:p w14:paraId="5E710464">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1</w:t>
      </w:r>
      <w:r>
        <w:rPr>
          <w:rFonts w:hint="eastAsia" w:ascii="Cambria Math" w:hAnsi="Cambria Math"/>
          <w:highlight w:val="none"/>
          <w:lang w:eastAsia="zh-CN"/>
        </w:rPr>
        <w:t>、</w:t>
      </w:r>
      <w:r>
        <w:rPr>
          <w:rFonts w:hint="eastAsia" w:ascii="Cambria Math" w:hAnsi="Cambria Math"/>
          <w:highlight w:val="none"/>
        </w:rPr>
        <w:t>投标人承诺对参与该项目所获得的与招标人产品相关的所有信息都予以保密，并承担与此相关的所有法律责任；</w:t>
      </w:r>
    </w:p>
    <w:p w14:paraId="7B914DC2">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2</w:t>
      </w:r>
      <w:r>
        <w:rPr>
          <w:rFonts w:hint="eastAsia" w:ascii="Cambria Math" w:hAnsi="Cambria Math"/>
          <w:highlight w:val="none"/>
          <w:lang w:eastAsia="zh-CN"/>
        </w:rPr>
        <w:t>、</w:t>
      </w:r>
      <w:r>
        <w:rPr>
          <w:rFonts w:hint="eastAsia" w:ascii="Cambria Math" w:hAnsi="Cambria Math"/>
          <w:highlight w:val="none"/>
        </w:rPr>
        <w:t>终验收合格后，质保期一年。在正常运行的情况下，系统出现故障，在接到通知后</w:t>
      </w:r>
      <w:r>
        <w:rPr>
          <w:rFonts w:ascii="Cambria Math" w:hAnsi="Cambria Math"/>
          <w:highlight w:val="none"/>
        </w:rPr>
        <w:t>4小时以内予以答复，并在24小时以内派出服务人员，无偿维修；在质保期满后，投标方在接到通知后4小时以内予以答复，并在24小时以内派出服务人员；</w:t>
      </w:r>
    </w:p>
    <w:p w14:paraId="4B9B2D96">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3</w:t>
      </w:r>
      <w:r>
        <w:rPr>
          <w:rFonts w:hint="eastAsia" w:ascii="Cambria Math" w:hAnsi="Cambria Math"/>
          <w:highlight w:val="none"/>
          <w:lang w:eastAsia="zh-CN"/>
        </w:rPr>
        <w:t>、</w:t>
      </w:r>
      <w:r>
        <w:rPr>
          <w:rFonts w:hint="eastAsia" w:ascii="Cambria Math" w:hAnsi="Cambria Math"/>
          <w:highlight w:val="none"/>
        </w:rPr>
        <w:t>其余未尽事宜，投标人应与招标人指派的答疑人员充分沟通，理解认可并接受相关技术规范及服务要求；</w:t>
      </w:r>
    </w:p>
    <w:p w14:paraId="721B2A82">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4</w:t>
      </w:r>
      <w:r>
        <w:rPr>
          <w:rFonts w:hint="eastAsia" w:ascii="Cambria Math" w:hAnsi="Cambria Math"/>
          <w:highlight w:val="none"/>
          <w:lang w:eastAsia="zh-CN"/>
        </w:rPr>
        <w:t>、</w:t>
      </w:r>
      <w:r>
        <w:rPr>
          <w:rFonts w:hint="eastAsia" w:ascii="Cambria Math" w:hAnsi="Cambria Math"/>
          <w:highlight w:val="none"/>
        </w:rPr>
        <w:t>中标人需安排专人负责本招标项目的联络、检测计划布置、检测现场指导工作，该负责人对于以上问题的响应时间不得超过</w:t>
      </w:r>
      <w:r>
        <w:rPr>
          <w:rFonts w:ascii="Cambria Math" w:hAnsi="Cambria Math"/>
          <w:highlight w:val="none"/>
        </w:rPr>
        <w:t>2小时；</w:t>
      </w:r>
    </w:p>
    <w:p w14:paraId="6CAD08AF">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5</w:t>
      </w:r>
      <w:r>
        <w:rPr>
          <w:rFonts w:hint="eastAsia" w:ascii="Cambria Math" w:hAnsi="Cambria Math"/>
          <w:highlight w:val="none"/>
          <w:lang w:eastAsia="zh-CN"/>
        </w:rPr>
        <w:t>、</w:t>
      </w:r>
      <w:r>
        <w:rPr>
          <w:rFonts w:hint="eastAsia" w:ascii="Cambria Math" w:hAnsi="Cambria Math"/>
          <w:highlight w:val="none"/>
        </w:rPr>
        <w:t>投标人需自备交通工具、各种设备及食宿等必需品；</w:t>
      </w:r>
    </w:p>
    <w:p w14:paraId="74183F8C">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6</w:t>
      </w:r>
      <w:r>
        <w:rPr>
          <w:rFonts w:hint="eastAsia" w:ascii="Cambria Math" w:hAnsi="Cambria Math"/>
          <w:highlight w:val="none"/>
          <w:lang w:eastAsia="zh-CN"/>
        </w:rPr>
        <w:t>、</w:t>
      </w:r>
      <w:r>
        <w:rPr>
          <w:rFonts w:hint="eastAsia" w:ascii="Cambria Math" w:hAnsi="Cambria Math"/>
          <w:highlight w:val="none"/>
        </w:rPr>
        <w:t>中标方需对招标人提供的数据及企业资料进行保密，并不得向第三方扩散，因泄密对招标人造成的损失由中标方承担相应全部责任；</w:t>
      </w:r>
    </w:p>
    <w:p w14:paraId="578947F9">
      <w:pPr>
        <w:pStyle w:val="13"/>
        <w:shd w:val="clear" w:color="auto" w:fill="auto"/>
        <w:rPr>
          <w:rFonts w:hint="eastAsia"/>
          <w:highlight w:val="none"/>
        </w:rPr>
      </w:pPr>
    </w:p>
    <w:p w14:paraId="750F4326">
      <w:pPr>
        <w:pStyle w:val="2"/>
        <w:shd w:val="clear" w:color="auto" w:fill="auto"/>
        <w:spacing w:before="120" w:after="120" w:line="480" w:lineRule="exact"/>
        <w:ind w:left="0" w:leftChars="0" w:firstLine="0" w:firstLineChars="0"/>
        <w:jc w:val="center"/>
        <w:rPr>
          <w:rFonts w:hint="eastAsia" w:ascii="黑体" w:eastAsia="黑体"/>
          <w:b w:val="0"/>
          <w:sz w:val="24"/>
          <w:szCs w:val="24"/>
          <w:highlight w:val="none"/>
        </w:rPr>
      </w:pPr>
      <w:bookmarkStart w:id="51" w:name="_Toc10810"/>
      <w:bookmarkStart w:id="52" w:name="_Toc5879"/>
      <w:bookmarkStart w:id="53" w:name="_Toc9668"/>
      <w:bookmarkStart w:id="54" w:name="_Toc137705869"/>
      <w:bookmarkStart w:id="55" w:name="_Toc10963"/>
      <w:r>
        <w:rPr>
          <w:rFonts w:hint="eastAsia" w:ascii="黑体" w:eastAsia="黑体"/>
          <w:b w:val="0"/>
          <w:sz w:val="24"/>
          <w:szCs w:val="24"/>
          <w:highlight w:val="none"/>
        </w:rPr>
        <w:t>第三章供货范围及供货方式</w:t>
      </w:r>
      <w:bookmarkEnd w:id="51"/>
      <w:bookmarkEnd w:id="52"/>
      <w:bookmarkEnd w:id="53"/>
      <w:bookmarkEnd w:id="54"/>
      <w:bookmarkEnd w:id="55"/>
    </w:p>
    <w:p w14:paraId="218A4583">
      <w:pPr>
        <w:pStyle w:val="4"/>
        <w:shd w:val="clear" w:color="auto" w:fill="auto"/>
        <w:spacing w:before="120" w:after="120" w:line="480" w:lineRule="exact"/>
        <w:jc w:val="center"/>
        <w:rPr>
          <w:rFonts w:hint="eastAsia"/>
          <w:b w:val="0"/>
          <w:sz w:val="24"/>
          <w:szCs w:val="24"/>
          <w:highlight w:val="none"/>
        </w:rPr>
      </w:pPr>
      <w:bookmarkStart w:id="56" w:name="_Toc15892"/>
      <w:bookmarkStart w:id="57" w:name="_Toc22761"/>
      <w:bookmarkStart w:id="58" w:name="_Toc19615"/>
      <w:bookmarkStart w:id="59" w:name="_Toc10065"/>
      <w:bookmarkStart w:id="60" w:name="_Toc137705870"/>
      <w:r>
        <w:rPr>
          <w:rFonts w:hint="eastAsia"/>
          <w:b w:val="0"/>
          <w:sz w:val="24"/>
          <w:szCs w:val="24"/>
          <w:highlight w:val="none"/>
        </w:rPr>
        <w:t>第一节供货范围</w:t>
      </w:r>
      <w:bookmarkEnd w:id="56"/>
      <w:bookmarkEnd w:id="57"/>
      <w:bookmarkEnd w:id="58"/>
      <w:bookmarkEnd w:id="59"/>
      <w:bookmarkEnd w:id="60"/>
    </w:p>
    <w:p w14:paraId="7CE33D96">
      <w:pPr>
        <w:numPr>
          <w:ilvl w:val="0"/>
          <w:numId w:val="13"/>
        </w:numPr>
        <w:shd w:val="clear" w:color="auto" w:fill="auto"/>
        <w:spacing w:line="480" w:lineRule="exact"/>
        <w:ind w:firstLine="420" w:firstLineChars="200"/>
        <w:rPr>
          <w:rFonts w:hint="eastAsia" w:ascii="黑体" w:hAnsi="宋体" w:eastAsia="黑体"/>
          <w:highlight w:val="none"/>
          <w:lang w:val="en-US" w:eastAsia="zh-CN"/>
        </w:rPr>
      </w:pPr>
      <w:r>
        <w:rPr>
          <w:rFonts w:hint="eastAsia" w:ascii="黑体" w:hAnsi="宋体" w:eastAsia="黑体"/>
          <w:highlight w:val="none"/>
          <w:lang w:val="en-US" w:eastAsia="zh-CN"/>
        </w:rPr>
        <w:t>供货范围</w:t>
      </w:r>
    </w:p>
    <w:tbl>
      <w:tblPr>
        <w:tblStyle w:val="3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570"/>
        <w:gridCol w:w="2457"/>
        <w:gridCol w:w="4489"/>
        <w:gridCol w:w="623"/>
        <w:gridCol w:w="1126"/>
      </w:tblGrid>
      <w:tr w14:paraId="373E8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62DD490">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lang w:val="en-US" w:eastAsia="zh-CN"/>
              </w:rPr>
              <w:t>序号</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E4F708C">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设备</w:t>
            </w:r>
            <w:r>
              <w:rPr>
                <w:rFonts w:hint="eastAsia" w:ascii="宋体" w:hAnsi="宋体" w:eastAsia="宋体" w:cs="宋体"/>
                <w:kern w:val="0"/>
                <w:sz w:val="18"/>
                <w:szCs w:val="18"/>
                <w:highlight w:val="none"/>
                <w:lang w:val="en-US" w:eastAsia="zh-CN"/>
              </w:rPr>
              <w:t>/工装</w:t>
            </w:r>
            <w:r>
              <w:rPr>
                <w:rFonts w:hint="eastAsia" w:ascii="宋体" w:hAnsi="宋体" w:eastAsia="宋体" w:cs="宋体"/>
                <w:kern w:val="0"/>
                <w:sz w:val="18"/>
                <w:szCs w:val="18"/>
                <w:highlight w:val="none"/>
              </w:rPr>
              <w:t>名称</w:t>
            </w:r>
          </w:p>
        </w:tc>
        <w:tc>
          <w:tcPr>
            <w:tcW w:w="0" w:type="auto"/>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4FF3314">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lang w:val="en-US" w:eastAsia="zh-CN"/>
              </w:rPr>
              <w:t>规格参数说明</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FE4B668">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lang w:val="en-US" w:eastAsia="zh-CN"/>
              </w:rPr>
              <w:t>数量</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5ED59F6">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lang w:val="en-US" w:eastAsia="zh-CN"/>
              </w:rPr>
              <w:t>工序工位</w:t>
            </w:r>
          </w:p>
        </w:tc>
      </w:tr>
      <w:tr w14:paraId="70F5B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80B77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8F060BE">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激光打标机</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0399BA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光纤或紫外激光器，功率≥30W，打刻范围≥100mm×100mm，带烟尘净化器，具备与工控机通讯接口（Ethernet/RS232），可接收MES下发的二维码内容</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DF3EA7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C27CA82">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56484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457B582">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2</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4DF6366">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手动杠杆式压装机</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92712A7">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手动杠杆式，带压力传感器（实时显示压力），配备适配圆柱销、定位轴套的压头，操作轻便，压装力可控</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DAA183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02F3B37">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178E8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B0A246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3</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60FB65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气动油压脉冲扳手</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6C3A5C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拧紧力矩满足发电机支架螺栓拧紧要求，带气源处理三联件，扭矩稳定</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106B07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1把</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F6A73A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27F64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302CB1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4</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3A922D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集成操作台及滑轨</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647ADFF">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定制，台面平整稳固，预留滑轨安装位置，物料缓冲区增加限位，含工位切换滑轨</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EE5ECCE">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8DA7CA6">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27A93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4250D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5</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2159E59">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驱动壳体总成定位销压装夹具</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B72F02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定制，底部带滑轨，可在激光打标机与手动压装机之间快速切换，材质耐磨，定位精准，兼容所有在用驱动壳体型号，具备工件防滑动、防磕碰设计</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BA22FD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0D7CFBB">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7A95B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6D71B5D">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6</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6699F2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驱动壳体油封压装机（改造）</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8A6ABCE">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对甲方现有气动设备进行改造：新增控制系统（PLC），新增电缸替换原气液增压缸，新增倍速链线体（双层，长约4m，穿过压机）、托盘举升定位机构、水平相位调整气缸，线体两端配备升降机实现托盘闭环周转，保留原设备手动操作功能</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BE0140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3980AF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w:t>
            </w:r>
          </w:p>
        </w:tc>
      </w:tr>
      <w:tr w14:paraId="64DA3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F91B58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7</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AF6197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定制化定位托盘</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42CC1A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含定位底座、导向机构，材质耐磨，定位精准，适配不同型号驱动壳体，数量满足周转需求</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BFA60B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7</w:t>
            </w:r>
            <w:r>
              <w:rPr>
                <w:rFonts w:hint="default" w:ascii="Segoe UI" w:hAnsi="Segoe UI" w:eastAsia="Segoe UI" w:cs="Segoe UI"/>
                <w:i w:val="0"/>
                <w:iCs w:val="0"/>
                <w:caps w:val="0"/>
                <w:color w:val="0F1115"/>
                <w:spacing w:val="0"/>
                <w:kern w:val="0"/>
                <w:sz w:val="18"/>
                <w:szCs w:val="18"/>
                <w:lang w:val="en-US" w:eastAsia="zh-CN" w:bidi="ar"/>
              </w:rPr>
              <w:t>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C628BE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w:t>
            </w:r>
          </w:p>
        </w:tc>
      </w:tr>
      <w:tr w14:paraId="5D3FB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F938EA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8</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D6B6EB">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油封压头</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0631DF9">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适配多种油封规格，确保压装贴合度</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005B67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w:t>
            </w:r>
            <w:r>
              <w:rPr>
                <w:rFonts w:hint="default" w:ascii="Segoe UI" w:hAnsi="Segoe UI" w:eastAsia="Segoe UI" w:cs="Segoe UI"/>
                <w:i w:val="0"/>
                <w:iCs w:val="0"/>
                <w:caps w:val="0"/>
                <w:color w:val="0F1115"/>
                <w:spacing w:val="0"/>
                <w:kern w:val="0"/>
                <w:sz w:val="18"/>
                <w:szCs w:val="18"/>
                <w:lang w:val="en-US" w:eastAsia="zh-CN" w:bidi="ar"/>
              </w:rPr>
              <w:t>件</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13ABA22">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w:t>
            </w:r>
          </w:p>
        </w:tc>
      </w:tr>
      <w:tr w14:paraId="63FFA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F7C66EB">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9</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0BF36F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工业机器人夹爪及调试</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AE5405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夹爪采用涨销形式，用于抓取驱动壳体螺栓通孔，完成工件在托盘、翻转架、转盘之间的移载（机器人本体由甲方利旧提供）</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C06AA2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5E08A1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p>
        </w:tc>
      </w:tr>
      <w:tr w14:paraId="7890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2B48792">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0</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BF7A45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转盘及驱动壳体翻转架</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34BD39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转盘1套，用于工位内工件流转；翻转架可将驱动壳体旋转至所需装配角度，转盘上固定4套以上翻转架，可通过机器人自动上下料</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DAB967D">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22CA61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p>
        </w:tc>
      </w:tr>
      <w:tr w14:paraId="6E86C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3EBFD2E">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1</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4CCE59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上下双层倍速链线体</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050CFA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单层长4m，宽度适配装配托架，运行平稳速度可调，带导向护栏、工件限位挡停，可与OP20线体衔接或独立</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B8DC4F">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w:t>
            </w:r>
            <w:r>
              <w:rPr>
                <w:rFonts w:hint="default" w:ascii="Segoe UI" w:hAnsi="Segoe UI" w:eastAsia="Segoe UI" w:cs="Segoe UI"/>
                <w:i w:val="0"/>
                <w:iCs w:val="0"/>
                <w:caps w:val="0"/>
                <w:color w:val="0F1115"/>
                <w:spacing w:val="0"/>
                <w:kern w:val="0"/>
                <w:sz w:val="18"/>
                <w:szCs w:val="18"/>
                <w:lang w:val="en-US" w:eastAsia="zh-CN" w:bidi="ar"/>
              </w:rPr>
              <w:t>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0ED33C8">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r>
              <w:rPr>
                <w:rFonts w:hint="eastAsia" w:ascii="Segoe UI" w:hAnsi="Segoe UI" w:eastAsia="Segoe UI" w:cs="Segoe UI"/>
                <w:i w:val="0"/>
                <w:iCs w:val="0"/>
                <w:caps w:val="0"/>
                <w:color w:val="0F1115"/>
                <w:spacing w:val="0"/>
                <w:kern w:val="0"/>
                <w:sz w:val="18"/>
                <w:szCs w:val="18"/>
                <w:lang w:val="en-US" w:eastAsia="zh-CN" w:bidi="ar"/>
              </w:rPr>
              <w:t>/OP50</w:t>
            </w:r>
          </w:p>
        </w:tc>
      </w:tr>
      <w:tr w14:paraId="769F2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F9C8375">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2</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DAB5122">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气缸升降机</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3CE52D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与倍速链配套，安装于线体两端，实现托盘闭环周转，升降平稳、定位精准</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5ED2FB6">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4</w:t>
            </w:r>
            <w:r>
              <w:rPr>
                <w:rFonts w:hint="default" w:ascii="Segoe UI" w:hAnsi="Segoe UI" w:eastAsia="Segoe UI" w:cs="Segoe UI"/>
                <w:i w:val="0"/>
                <w:iCs w:val="0"/>
                <w:caps w:val="0"/>
                <w:color w:val="0F1115"/>
                <w:spacing w:val="0"/>
                <w:kern w:val="0"/>
                <w:sz w:val="18"/>
                <w:szCs w:val="18"/>
                <w:lang w:val="en-US" w:eastAsia="zh-CN" w:bidi="ar"/>
              </w:rPr>
              <w:t>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1F02045">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w:t>
            </w:r>
            <w:r>
              <w:rPr>
                <w:rFonts w:hint="eastAsia" w:ascii="Segoe UI" w:hAnsi="Segoe UI" w:eastAsia="Segoe UI" w:cs="Segoe UI"/>
                <w:i w:val="0"/>
                <w:iCs w:val="0"/>
                <w:caps w:val="0"/>
                <w:color w:val="0F1115"/>
                <w:spacing w:val="0"/>
                <w:kern w:val="0"/>
                <w:sz w:val="18"/>
                <w:szCs w:val="18"/>
                <w:lang w:val="en-US" w:eastAsia="zh-CN" w:bidi="ar"/>
              </w:rPr>
              <w:t>2</w:t>
            </w:r>
            <w:r>
              <w:rPr>
                <w:rFonts w:hint="default" w:ascii="Segoe UI" w:hAnsi="Segoe UI" w:eastAsia="Segoe UI" w:cs="Segoe UI"/>
                <w:i w:val="0"/>
                <w:iCs w:val="0"/>
                <w:caps w:val="0"/>
                <w:color w:val="0F1115"/>
                <w:spacing w:val="0"/>
                <w:kern w:val="0"/>
                <w:sz w:val="18"/>
                <w:szCs w:val="18"/>
                <w:lang w:val="en-US" w:eastAsia="zh-CN" w:bidi="ar"/>
              </w:rPr>
              <w:t>0</w:t>
            </w:r>
            <w:r>
              <w:rPr>
                <w:rFonts w:hint="eastAsia" w:ascii="Segoe UI" w:hAnsi="Segoe UI" w:eastAsia="Segoe UI" w:cs="Segoe UI"/>
                <w:i w:val="0"/>
                <w:iCs w:val="0"/>
                <w:caps w:val="0"/>
                <w:color w:val="0F1115"/>
                <w:spacing w:val="0"/>
                <w:kern w:val="0"/>
                <w:sz w:val="18"/>
                <w:szCs w:val="18"/>
                <w:lang w:val="en-US" w:eastAsia="zh-CN" w:bidi="ar"/>
              </w:rPr>
              <w:t>/50</w:t>
            </w:r>
          </w:p>
        </w:tc>
      </w:tr>
      <w:tr w14:paraId="4E7C5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AB4D27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3</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9A0C91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驱动壳体总成装配托架</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BCEEF2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定制，配备可夹紧驱动壳体的夹具，定位精准，兼容所有在用驱动壳体型号，具备防磕碰设计</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DA584C6">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4</w:t>
            </w:r>
            <w:r>
              <w:rPr>
                <w:rFonts w:hint="default" w:ascii="Segoe UI" w:hAnsi="Segoe UI" w:eastAsia="Segoe UI" w:cs="Segoe UI"/>
                <w:i w:val="0"/>
                <w:iCs w:val="0"/>
                <w:caps w:val="0"/>
                <w:color w:val="0F1115"/>
                <w:spacing w:val="0"/>
                <w:kern w:val="0"/>
                <w:sz w:val="18"/>
                <w:szCs w:val="18"/>
                <w:lang w:val="en-US" w:eastAsia="zh-CN" w:bidi="ar"/>
              </w:rPr>
              <w:t>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F44148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p>
        </w:tc>
      </w:tr>
      <w:tr w14:paraId="3A11F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B763B8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4</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BF93BC7">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扫码枪（无线）</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090E93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用于OP30工序绑定工件信息与拧紧数据，工业级无线扫码枪，带充电座</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85887E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1把</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5137BA7">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p>
        </w:tc>
      </w:tr>
      <w:tr w14:paraId="2516E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5A1A11E">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5</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7B8EB4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皮带轮装配转盘及定位工装</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CBE74A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用于工件定位及装配，可满足机器人对所有品种产品的自动上下料</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6DE4A5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4BD4C6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OP40</w:t>
            </w:r>
          </w:p>
        </w:tc>
      </w:tr>
      <w:tr w14:paraId="7367C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6DF05C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6</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9B519B1">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工业吸尘器</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3BF0A3A">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大功率，配定制吸嘴，满足驱动壳体油封侧吸尘。</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0D5907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488765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OP40</w:t>
            </w:r>
          </w:p>
        </w:tc>
      </w:tr>
      <w:tr w14:paraId="6524E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114F40">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17</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1C7FF1F">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皮带轮螺栓拧紧设备（改造）</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5AFAFF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对甲方现有设备框架进行改造：安装拧紧轴，新增倍速链线体（穿过拧紧机）、相位保证气缸、自动换型机构，定制开发3套专用快换夹具，实现不同型号产品的快速自动切换</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6649CE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83E22E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OP50</w:t>
            </w:r>
          </w:p>
        </w:tc>
      </w:tr>
      <w:tr w14:paraId="17B3F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F2204BF">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18</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4E9EA0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快换式皮带轮螺栓拧紧夹具</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9A1F84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定制，适配不同型号工件，含快换机构，由拧紧机根据工件型号自动快速切换</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3A4F62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3套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F8F7CA9">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OP50</w:t>
            </w:r>
          </w:p>
        </w:tc>
      </w:tr>
      <w:tr w14:paraId="79188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2CF946D">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19</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17D003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自动出料配套PTO总成周转料架</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088C77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与机器人对接，实现PTO总成自动收纳放置，符合人机工程，可接受人工介入换层。</w:t>
            </w:r>
          </w:p>
          <w:p w14:paraId="6D5E90A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27427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4套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E19BB3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OP50</w:t>
            </w:r>
          </w:p>
        </w:tc>
      </w:tr>
      <w:tr w14:paraId="23359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BDCE9B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20</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9E9AB6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拧紧轴</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CBE807F">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阿特拉斯</w:t>
            </w:r>
            <w:r>
              <w:rPr>
                <w:rFonts w:hint="eastAsia" w:ascii="Segoe UI" w:hAnsi="Segoe UI" w:eastAsia="Segoe UI" w:cs="Segoe UI"/>
                <w:i w:val="0"/>
                <w:iCs w:val="0"/>
                <w:caps w:val="0"/>
                <w:color w:val="0F1115"/>
                <w:spacing w:val="0"/>
                <w:kern w:val="0"/>
                <w:sz w:val="18"/>
                <w:szCs w:val="18"/>
                <w:lang w:val="en-US" w:eastAsia="zh-CN" w:bidi="ar"/>
              </w:rPr>
              <w:t>1000Nm拧紧轴或同等规格型号含控制器</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B490A40">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66E7BA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OP50</w:t>
            </w:r>
          </w:p>
        </w:tc>
      </w:tr>
      <w:tr w14:paraId="37243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E8BA21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21</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0ABA547">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工控机及显示器</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026A46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工业级，配置不低于i5/8G/256G SSD，预装Windows 10 LTSC，带串口、网口，配27寸显示屏、无线键盘、鼠标</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DA325C2">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3套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8FCCEF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整线</w:t>
            </w:r>
          </w:p>
        </w:tc>
      </w:tr>
      <w:tr w14:paraId="2908C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02A63A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22</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5F19CBE">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读码器（固定式）</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DB11BE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OP20、OP50各1套，自动识别工件流水号，绑定设备数据</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181858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2套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BDDC8D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OP20/OP50</w:t>
            </w:r>
          </w:p>
        </w:tc>
      </w:tr>
      <w:tr w14:paraId="1250E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F6F100D">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2</w:t>
            </w:r>
            <w:r>
              <w:rPr>
                <w:rFonts w:hint="eastAsia" w:ascii="Segoe UI" w:hAnsi="Segoe UI" w:eastAsia="Segoe UI" w:cs="Segoe UI"/>
                <w:i w:val="0"/>
                <w:iCs w:val="0"/>
                <w:caps w:val="0"/>
                <w:color w:val="0F1115"/>
                <w:spacing w:val="0"/>
                <w:kern w:val="0"/>
                <w:sz w:val="18"/>
                <w:szCs w:val="18"/>
                <w:lang w:val="en-US" w:eastAsia="zh-CN" w:bidi="ar"/>
              </w:rPr>
              <w:t>3</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9405BF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扫码枪（无线）</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8F08F1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全工序通用，用于扫描并记录所有物料批次码，将物料批次信息与拧紧数据信息绑定，工业级无线扫码枪，带串口线、充电座</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5340609">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2把</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BD72CC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整线</w:t>
            </w:r>
          </w:p>
        </w:tc>
      </w:tr>
      <w:tr w14:paraId="43E6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0710EB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24</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6BD1D95">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电气柜</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7ADBD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满足分装线所有设备控制要求</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BA80C23">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D71C4D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整线</w:t>
            </w:r>
          </w:p>
        </w:tc>
      </w:tr>
      <w:tr w14:paraId="48FF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B76838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25</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DA1BC3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网络布线</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307F03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六类屏蔽网线及辅材，根据甲方交换机位置与实际分装位置进行布线，确保通讯稳定</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EF2B98D">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1项</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88F841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整线</w:t>
            </w:r>
          </w:p>
        </w:tc>
      </w:tr>
      <w:tr w14:paraId="55E03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53BE95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26</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D8B620E">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安全边界摄像头</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371D00">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≥800万像素，IP65，宽温工作，覆盖OP20-OP50机器人作业及装配区域。部署边缘AI网关（≥6TOPS算力），实现人员入侵实时识别（准确率≥96%，响应≤0.8秒）。</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B008197">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0CE711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整线</w:t>
            </w:r>
          </w:p>
        </w:tc>
      </w:tr>
    </w:tbl>
    <w:p w14:paraId="18ED0743">
      <w:pPr>
        <w:shd w:val="clear" w:color="auto" w:fill="auto"/>
        <w:spacing w:line="480" w:lineRule="exact"/>
        <w:rPr>
          <w:rFonts w:hint="eastAsia" w:ascii="黑体" w:hAnsi="宋体" w:eastAsia="黑体"/>
          <w:highlight w:val="none"/>
        </w:rPr>
      </w:pPr>
    </w:p>
    <w:p w14:paraId="2A61B7FE">
      <w:pPr>
        <w:shd w:val="clear" w:color="auto" w:fill="auto"/>
        <w:spacing w:line="480" w:lineRule="exact"/>
        <w:rPr>
          <w:rFonts w:hint="eastAsia" w:ascii="黑体" w:hAnsi="宋体" w:eastAsia="黑体"/>
          <w:highlight w:val="none"/>
        </w:rPr>
      </w:pPr>
    </w:p>
    <w:p w14:paraId="7D2C2771">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lang w:val="en-US" w:eastAsia="zh-CN"/>
        </w:rPr>
        <w:t>二、</w:t>
      </w:r>
      <w:r>
        <w:rPr>
          <w:rFonts w:hint="eastAsia" w:ascii="黑体" w:hAnsi="宋体" w:eastAsia="黑体"/>
          <w:highlight w:val="none"/>
        </w:rPr>
        <w:t>主要货物一般供货范围界定</w:t>
      </w:r>
    </w:p>
    <w:p w14:paraId="226F668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1、供货范围包括本技术标书“采购货物概况”所列及所要求的设备。</w:t>
      </w:r>
    </w:p>
    <w:p w14:paraId="2589B47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2、供货范围包括为保证设备正常安装、调试和验收完成及以前所必需的整套配件、附件及材料、油料、控制软件及程序或指令等。</w:t>
      </w:r>
    </w:p>
    <w:p w14:paraId="49F8FBF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如果终验收完成后，投标方有需要收回的配件、附件、材料、油料等，应当在投标文件的技术偏离条款中，予以详细说明；否则视同包括在供货范围之内。</w:t>
      </w:r>
    </w:p>
    <w:p w14:paraId="5E975D6E">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3、供货范围包括货物维护维修所必需的专用工具。</w:t>
      </w:r>
    </w:p>
    <w:p w14:paraId="0B713BA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59F3AE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如投标方难以提供或无优势提供以及属于选用配置的，则应当在投标文件的技术偏离条款中，予以详细说明并注明投标报价未包含该部分的货值。</w:t>
      </w:r>
    </w:p>
    <w:p w14:paraId="07B0D91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5、供货范围包括为保证设备自身正常运行所必需的、满足使用地点环境条件的通风、冷却、降温等必需设施。</w:t>
      </w:r>
    </w:p>
    <w:p w14:paraId="6DB654D6">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6、以“交钥匙”方式采购的设备，在满足技术标书本节上述要求之外，供货范围还包括如下界定（货物）：</w:t>
      </w:r>
    </w:p>
    <w:p w14:paraId="4C82841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6.1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419B29B3">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6.2供货范围包括设备正常运行所必需的全套连线设备、材料等。如货物端联接法兰外端面之内的、电气系统接口压线板（插座等）之内的设备、材料、联接螺栓、垫片等。</w:t>
      </w:r>
    </w:p>
    <w:p w14:paraId="3A1FBEB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6.3供货范围包括设备正常运行、使用所需要的过桥、护栏、防护网、盖板等辅助设施。</w:t>
      </w:r>
    </w:p>
    <w:p w14:paraId="3D2201B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6.3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4B265C66">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lang w:val="en-US" w:eastAsia="zh-CN"/>
        </w:rPr>
        <w:t>三</w:t>
      </w:r>
      <w:r>
        <w:rPr>
          <w:rFonts w:hint="eastAsia" w:ascii="黑体" w:hAnsi="宋体" w:eastAsia="黑体"/>
          <w:highlight w:val="none"/>
        </w:rPr>
        <w:t>、备品备件、易损件和专用耗材供货范围</w:t>
      </w:r>
    </w:p>
    <w:p w14:paraId="45548B3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14:paraId="20805B02">
      <w:pPr>
        <w:shd w:val="clear" w:color="auto" w:fill="auto"/>
        <w:spacing w:line="480" w:lineRule="exact"/>
        <w:ind w:firstLine="420" w:firstLineChars="200"/>
        <w:rPr>
          <w:rFonts w:ascii="宋体" w:hAnsi="宋体"/>
          <w:highlight w:val="none"/>
        </w:rPr>
      </w:pPr>
      <w:r>
        <w:rPr>
          <w:rFonts w:hint="eastAsia" w:ascii="宋体" w:hAnsi="宋体"/>
          <w:highlight w:val="none"/>
        </w:rPr>
        <w:t>2、供货范围包括易损件和专用耗材的制造图纸及其技术要求等资料。</w:t>
      </w:r>
    </w:p>
    <w:p w14:paraId="0CD12598">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lang w:val="en-US" w:eastAsia="zh-CN"/>
        </w:rPr>
        <w:t>四</w:t>
      </w:r>
      <w:r>
        <w:rPr>
          <w:rFonts w:hint="eastAsia" w:ascii="黑体" w:hAnsi="宋体" w:eastAsia="黑体"/>
          <w:highlight w:val="none"/>
        </w:rPr>
        <w:t>、技术资料供货范围</w:t>
      </w:r>
    </w:p>
    <w:p w14:paraId="61267E61">
      <w:pPr>
        <w:shd w:val="clear" w:color="auto" w:fill="auto"/>
        <w:spacing w:line="480" w:lineRule="exact"/>
        <w:ind w:firstLine="420" w:firstLineChars="200"/>
        <w:rPr>
          <w:rFonts w:hint="eastAsia" w:ascii="宋体" w:hAnsi="宋体"/>
          <w:highlight w:val="none"/>
        </w:rPr>
      </w:pPr>
      <w:r>
        <w:rPr>
          <w:rFonts w:hint="eastAsia" w:ascii="宋体" w:hAnsi="宋体"/>
          <w:highlight w:val="none"/>
        </w:rPr>
        <w:t>技术资料供货范围包括：</w:t>
      </w:r>
    </w:p>
    <w:p w14:paraId="6BBCCD7F">
      <w:pPr>
        <w:shd w:val="clear" w:color="auto" w:fill="auto"/>
        <w:spacing w:line="480" w:lineRule="exact"/>
        <w:ind w:firstLine="420" w:firstLineChars="200"/>
        <w:rPr>
          <w:rFonts w:hint="eastAsia" w:ascii="宋体" w:hAnsi="宋体"/>
          <w:bCs/>
          <w:highlight w:val="none"/>
        </w:rPr>
      </w:pPr>
      <w:r>
        <w:rPr>
          <w:rFonts w:hint="eastAsia" w:ascii="宋体" w:hAnsi="宋体"/>
          <w:highlight w:val="none"/>
        </w:rPr>
        <w:t>1、</w:t>
      </w:r>
      <w:r>
        <w:rPr>
          <w:rFonts w:hint="eastAsia" w:ascii="宋体" w:hAnsi="宋体"/>
          <w:bCs/>
          <w:highlight w:val="none"/>
        </w:rPr>
        <w:t>自接到中标通知起</w:t>
      </w:r>
      <w:r>
        <w:rPr>
          <w:rFonts w:hint="eastAsia" w:ascii="宋体" w:hAnsi="宋体"/>
          <w:bCs/>
          <w:highlight w:val="none"/>
          <w:lang w:val="en-US" w:eastAsia="zh-CN"/>
        </w:rPr>
        <w:t>15日</w:t>
      </w:r>
      <w:r>
        <w:rPr>
          <w:rFonts w:hint="eastAsia" w:ascii="宋体" w:hAnsi="宋体"/>
          <w:bCs/>
          <w:highlight w:val="none"/>
        </w:rPr>
        <w:t>，提供设备基础及相关的设计、制作所需的纸质及电子版资料；电子版文件应当能够使用常用版本软件可以阅读甚至使用，进口货物、设备应有中外文对照。</w:t>
      </w:r>
    </w:p>
    <w:p w14:paraId="4AF46696">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2、在预验收前，</w:t>
      </w:r>
      <w:r>
        <w:rPr>
          <w:rFonts w:hint="eastAsia" w:ascii="宋体" w:hAnsi="宋体"/>
          <w:bCs/>
          <w:highlight w:val="none"/>
        </w:rPr>
        <w:t>提供设备各部分的功能描述文件、图片、影像等资料（进口、设备应有中外文对照）。</w:t>
      </w:r>
    </w:p>
    <w:p w14:paraId="0F101BC5">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3、在终验收前，提供为保证设备后续正常运行所需的工装、吊（挂）具明细及其图纸、具体技术要求等资料（如果供货范围包含该部分实物）。</w:t>
      </w:r>
    </w:p>
    <w:p w14:paraId="6CB55B3F">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4、在终验收前，提供确定的维修所需要且招标方可以自行采购的外购件、外协件、电气元件及主要原材料的供货厂家明细表。</w:t>
      </w:r>
    </w:p>
    <w:p w14:paraId="158A09C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5、在终验收后的第一笔货款支付日之前，提供包括设备的备品备件、易损件和专用耗材的图纸及技术参数、技术要求等资料。</w:t>
      </w:r>
    </w:p>
    <w:p w14:paraId="4111985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225D31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364EB591">
      <w:pPr>
        <w:shd w:val="clear" w:color="auto" w:fill="auto"/>
        <w:spacing w:line="480" w:lineRule="exact"/>
        <w:ind w:firstLine="420" w:firstLineChars="200"/>
        <w:rPr>
          <w:rFonts w:hint="eastAsia" w:ascii="宋体" w:hAnsi="宋体"/>
          <w:highlight w:val="none"/>
        </w:rPr>
      </w:pPr>
      <w:r>
        <w:rPr>
          <w:rFonts w:hint="eastAsia" w:ascii="宋体" w:hAnsi="宋体"/>
          <w:highlight w:val="none"/>
        </w:rPr>
        <w:t>8、本条款所列的技术资料、图片、影像等，投标方应各提供4套，其中2套为电子版光（U）盘；每份技术文件应装有目录清单。</w:t>
      </w:r>
    </w:p>
    <w:p w14:paraId="6A439A6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9、本条款所列要求，如招标方认为投标方提供的资料不能满足要求时，有权要求投标方免费补充或增加。</w:t>
      </w:r>
    </w:p>
    <w:p w14:paraId="223CB510">
      <w:pPr>
        <w:shd w:val="clear" w:color="auto" w:fill="auto"/>
        <w:spacing w:line="480" w:lineRule="exact"/>
        <w:ind w:firstLine="420" w:firstLineChars="200"/>
        <w:rPr>
          <w:rFonts w:hint="eastAsia" w:ascii="宋体" w:hAnsi="宋体"/>
          <w:highlight w:val="none"/>
        </w:rPr>
      </w:pPr>
    </w:p>
    <w:p w14:paraId="330FB3B4">
      <w:pPr>
        <w:shd w:val="clear" w:color="auto" w:fill="auto"/>
        <w:spacing w:line="480" w:lineRule="exact"/>
        <w:ind w:firstLine="420" w:firstLineChars="200"/>
        <w:rPr>
          <w:rFonts w:hint="eastAsia" w:ascii="宋体" w:hAnsi="宋体"/>
          <w:highlight w:val="none"/>
        </w:rPr>
      </w:pPr>
    </w:p>
    <w:p w14:paraId="2EC2EEDF">
      <w:pPr>
        <w:shd w:val="clear" w:color="auto" w:fill="auto"/>
        <w:spacing w:line="480" w:lineRule="exact"/>
        <w:ind w:firstLine="420" w:firstLineChars="200"/>
        <w:rPr>
          <w:rFonts w:hint="eastAsia" w:ascii="宋体" w:hAnsi="宋体"/>
          <w:highlight w:val="none"/>
        </w:rPr>
      </w:pPr>
    </w:p>
    <w:p w14:paraId="4DAAF5D0">
      <w:pPr>
        <w:pStyle w:val="4"/>
        <w:shd w:val="clear" w:color="auto" w:fill="auto"/>
        <w:spacing w:before="120" w:after="120" w:line="480" w:lineRule="exact"/>
        <w:jc w:val="center"/>
        <w:rPr>
          <w:rFonts w:hint="eastAsia"/>
          <w:b w:val="0"/>
          <w:sz w:val="24"/>
          <w:szCs w:val="24"/>
          <w:highlight w:val="none"/>
        </w:rPr>
      </w:pPr>
      <w:bookmarkStart w:id="61" w:name="_Toc26064"/>
      <w:bookmarkStart w:id="62" w:name="_Toc137705871"/>
      <w:bookmarkStart w:id="63" w:name="_Toc9858"/>
      <w:bookmarkStart w:id="64" w:name="_Toc13936"/>
      <w:bookmarkStart w:id="65" w:name="_Toc8159"/>
      <w:r>
        <w:rPr>
          <w:rFonts w:hint="eastAsia"/>
          <w:b w:val="0"/>
          <w:sz w:val="24"/>
          <w:szCs w:val="24"/>
          <w:highlight w:val="none"/>
        </w:rPr>
        <w:t>第二节供货方式</w:t>
      </w:r>
      <w:bookmarkEnd w:id="61"/>
      <w:bookmarkEnd w:id="62"/>
      <w:bookmarkEnd w:id="63"/>
      <w:bookmarkEnd w:id="64"/>
      <w:bookmarkEnd w:id="65"/>
    </w:p>
    <w:p w14:paraId="76862CEF">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一、供货地点：</w:t>
      </w:r>
      <w:r>
        <w:rPr>
          <w:rFonts w:hint="eastAsia" w:ascii="宋体" w:hAnsi="宋体"/>
          <w:highlight w:val="none"/>
        </w:rPr>
        <w:t>本项目建设工地。</w:t>
      </w:r>
    </w:p>
    <w:p w14:paraId="5C86374D">
      <w:pPr>
        <w:shd w:val="clear" w:color="auto" w:fill="auto"/>
        <w:spacing w:line="480" w:lineRule="exact"/>
        <w:ind w:firstLine="420" w:firstLineChars="200"/>
        <w:jc w:val="left"/>
        <w:rPr>
          <w:rFonts w:hint="eastAsia" w:ascii="黑体" w:hAnsi="宋体" w:eastAsia="黑体"/>
          <w:highlight w:val="none"/>
        </w:rPr>
      </w:pPr>
      <w:r>
        <w:rPr>
          <w:rFonts w:hint="eastAsia" w:ascii="黑体" w:hAnsi="宋体" w:eastAsia="黑体"/>
          <w:highlight w:val="none"/>
        </w:rPr>
        <w:t>二、供货时间</w:t>
      </w:r>
    </w:p>
    <w:p w14:paraId="72B7E854">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1、以交钥匙方式供货的，按照以下时间要求（安装调试工期超过10个日历日的，投标方应当随标书提供详细的工期计划）：</w:t>
      </w:r>
    </w:p>
    <w:p w14:paraId="3F023975">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1.1自接到中标通知起，</w:t>
      </w:r>
      <w:r>
        <w:rPr>
          <w:rFonts w:hint="eastAsia" w:ascii="宋体" w:hAnsi="宋体"/>
          <w:highlight w:val="none"/>
          <w:lang w:val="en-US" w:eastAsia="zh-CN"/>
        </w:rPr>
        <w:t>5</w:t>
      </w:r>
      <w:r>
        <w:rPr>
          <w:rFonts w:hint="eastAsia" w:ascii="宋体" w:hAnsi="宋体"/>
          <w:highlight w:val="none"/>
        </w:rPr>
        <w:t>0个日历日之内交货至供货地点。</w:t>
      </w:r>
    </w:p>
    <w:p w14:paraId="65ED22AA">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1.2接续</w:t>
      </w:r>
      <w:r>
        <w:rPr>
          <w:rFonts w:hint="eastAsia" w:ascii="宋体" w:hAnsi="宋体"/>
          <w:highlight w:val="none"/>
          <w:u w:val="single"/>
          <w:shd w:val="pct10" w:color="auto" w:fill="FFFFFF"/>
        </w:rPr>
        <w:t>1</w:t>
      </w:r>
      <w:r>
        <w:rPr>
          <w:rFonts w:hint="eastAsia" w:ascii="宋体" w:hAnsi="宋体"/>
          <w:highlight w:val="none"/>
          <w:u w:val="single"/>
          <w:shd w:val="pct10" w:color="auto" w:fill="FFFFFF"/>
          <w:lang w:val="en-US" w:eastAsia="zh-CN"/>
        </w:rPr>
        <w:t>5</w:t>
      </w:r>
      <w:r>
        <w:rPr>
          <w:rFonts w:hint="eastAsia" w:ascii="宋体" w:hAnsi="宋体"/>
          <w:highlight w:val="none"/>
        </w:rPr>
        <w:t>个日历日之内安装调试完毕</w:t>
      </w:r>
      <w:r>
        <w:rPr>
          <w:rFonts w:hint="eastAsia" w:ascii="宋体" w:hAnsi="宋体"/>
          <w:lang w:eastAsia="zh-CN"/>
        </w:rPr>
        <w:t>，</w:t>
      </w:r>
      <w:r>
        <w:rPr>
          <w:rFonts w:hint="eastAsia" w:ascii="宋体" w:hAnsi="宋体"/>
          <w:lang w:val="en-US" w:eastAsia="zh-CN"/>
        </w:rPr>
        <w:t>达到协议约定的技术状态</w:t>
      </w:r>
      <w:r>
        <w:rPr>
          <w:rFonts w:hint="eastAsia" w:ascii="宋体" w:hAnsi="宋体"/>
        </w:rPr>
        <w:t>。</w:t>
      </w:r>
    </w:p>
    <w:p w14:paraId="269408C9">
      <w:pPr>
        <w:shd w:val="clear" w:color="auto" w:fill="auto"/>
        <w:spacing w:line="480" w:lineRule="exact"/>
        <w:ind w:firstLine="420" w:firstLineChars="200"/>
        <w:jc w:val="left"/>
        <w:rPr>
          <w:rFonts w:hint="eastAsia" w:ascii="黑体" w:hAnsi="宋体" w:eastAsia="黑体"/>
          <w:highlight w:val="none"/>
        </w:rPr>
      </w:pPr>
      <w:r>
        <w:rPr>
          <w:rFonts w:hint="eastAsia" w:ascii="黑体" w:hAnsi="宋体" w:eastAsia="黑体"/>
          <w:highlight w:val="none"/>
        </w:rPr>
        <w:t>三、质保期及质保要求</w:t>
      </w:r>
    </w:p>
    <w:p w14:paraId="0E8C68BF">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1、全部供货范围内的设备、材料、零配件和工器具等，除合同特别约定外，其质保期均自终验收签字生效之日起</w:t>
      </w:r>
      <w:r>
        <w:rPr>
          <w:rFonts w:hint="eastAsia" w:ascii="宋体" w:hAnsi="宋体"/>
          <w:highlight w:val="none"/>
          <w:u w:val="single"/>
          <w:shd w:val="pct10" w:color="auto" w:fill="FFFFFF"/>
        </w:rPr>
        <w:t>12</w:t>
      </w:r>
      <w:r>
        <w:rPr>
          <w:rFonts w:hint="eastAsia" w:ascii="宋体" w:hAnsi="宋体"/>
          <w:highlight w:val="none"/>
        </w:rPr>
        <w:t>个月。</w:t>
      </w:r>
    </w:p>
    <w:p w14:paraId="2B94FB30">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投标货物或涉及的关键总成和零件，如果有更长时间质保期，允许更改并说明，此将有利于投标方。</w:t>
      </w:r>
    </w:p>
    <w:p w14:paraId="710D2A06">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设计使用寿命短于质保期的易损件除外，但属于易损件的，应当有明确说明。</w:t>
      </w:r>
    </w:p>
    <w:p w14:paraId="0133270B">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2、质保期之内，如果设备出现设备、总成、关键零部件或者多处一般零部件的更换或维修行为，则质保期自更换或维修行为结束、设备重新正常运行使用之日起重新计算。</w:t>
      </w:r>
    </w:p>
    <w:p w14:paraId="47398591">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3、质保期内免费提供零部件和及时有效的服务。质保期内因货物本身缺陷造成的各种故障，投标方应负责免费维修和服务。</w:t>
      </w:r>
    </w:p>
    <w:p w14:paraId="42987F75">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4、质保期终止之日起12个月内重复出现的质保期之内出现的故障，仍属质保范围而且应当免费。</w:t>
      </w:r>
    </w:p>
    <w:p w14:paraId="4C99ED43">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四、包装</w:t>
      </w:r>
    </w:p>
    <w:p w14:paraId="67093E7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1、所提供设备的包装，应遵照国家标准和有关包装、包皮的技术条件，或按照最好的商业惯例进行包装。</w:t>
      </w:r>
    </w:p>
    <w:p w14:paraId="0C8EEB1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2、包装应能满足所需要采取的运输方式（船运、汽运或铁路运输）、多次吊装卸装、卸货以及长期露天堆放要求，应能防止雨淋、受潮、生锈、腐蚀、受振、受磁以及机械和化学因素等引起的损坏。</w:t>
      </w:r>
    </w:p>
    <w:p w14:paraId="14E60A7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3、所提供设备的包装，应能防止其一般性被窃或受外力破坏；一般不得采用有大缝隙的板条包装。</w:t>
      </w:r>
    </w:p>
    <w:p w14:paraId="0B4200A8">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4、应对包装件做必要的加固和固定，以防止运输可能造成的损坏。</w:t>
      </w:r>
    </w:p>
    <w:p w14:paraId="7D32CA1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5、每个包装件应有装箱单，并至少标明名称、型号规格、数量、净重和毛重、投标方（或供货商）名称和制造日期等相关内容。</w:t>
      </w:r>
    </w:p>
    <w:p w14:paraId="706426E2">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6、每个包装箱应有明显标志，并具有中文书写的合同号、装运标志、发货和到货地点名称、发货人和收货人名称、设备名称和项目号、箱号和外型尺寸等内容。</w:t>
      </w:r>
    </w:p>
    <w:p w14:paraId="59701AC8">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7、应按照不同的装运要求在包装箱上标明“小心轻放”、“箭头向上”、“防潮”、“防磁”、“不准平放”等标志，以及其它适用的国标通用标志。</w:t>
      </w:r>
    </w:p>
    <w:p w14:paraId="7202640D">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8、包装箱应连续编号，不应出现重复编号。</w:t>
      </w:r>
    </w:p>
    <w:p w14:paraId="52FAC11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9、在不受到外界破坏情况下，包装应保证自交货日起一年内货物（或设备）完好无损。</w:t>
      </w:r>
    </w:p>
    <w:p w14:paraId="4559EC58">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五、运输</w:t>
      </w:r>
    </w:p>
    <w:p w14:paraId="326A7AF0">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1、应负责将设备运到目的地，并必须做到设备在任何运输过程中不受损坏和遗失。</w:t>
      </w:r>
    </w:p>
    <w:p w14:paraId="565B138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2、同批设备应统一包装、编号运输。</w:t>
      </w:r>
    </w:p>
    <w:p w14:paraId="28FFC85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3、一般情况下，经由铁路、公路运输的包装件尺寸和重量不应超过国家所规定的尺寸限制。特殊情况应予以说明。</w:t>
      </w:r>
    </w:p>
    <w:p w14:paraId="4114409A">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4、在每批设备发出后，应立即通知招标方；通知中应指明：合同号、货运单号、件数、重量和设备发出日期等相关内容。</w:t>
      </w:r>
    </w:p>
    <w:p w14:paraId="2E10FE80">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5、设备运抵交货地点后，应负责货物（或设备）的卸货、搬运、保管等事宜；或按照合同约定。</w:t>
      </w:r>
    </w:p>
    <w:p w14:paraId="7A6E4E27">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66" w:name="_Toc30960"/>
      <w:bookmarkStart w:id="67" w:name="_Toc2931"/>
      <w:bookmarkStart w:id="68" w:name="_Toc9796"/>
      <w:bookmarkStart w:id="69" w:name="_Toc137705872"/>
      <w:bookmarkStart w:id="70" w:name="_Toc28593"/>
      <w:r>
        <w:rPr>
          <w:rFonts w:hint="eastAsia" w:ascii="黑体" w:eastAsia="黑体"/>
          <w:b w:val="0"/>
          <w:bCs w:val="0"/>
          <w:sz w:val="24"/>
          <w:szCs w:val="24"/>
          <w:highlight w:val="none"/>
        </w:rPr>
        <w:t>第四章售中售后服务</w:t>
      </w:r>
      <w:bookmarkEnd w:id="66"/>
      <w:bookmarkEnd w:id="67"/>
      <w:bookmarkEnd w:id="68"/>
      <w:bookmarkEnd w:id="69"/>
      <w:bookmarkEnd w:id="70"/>
    </w:p>
    <w:p w14:paraId="7BFF54CD">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一、技术及培训服务</w:t>
      </w:r>
    </w:p>
    <w:p w14:paraId="3C7F8129">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1、应负责对招标方</w:t>
      </w:r>
      <w:r>
        <w:rPr>
          <w:rFonts w:hint="eastAsia" w:ascii="宋体" w:hAnsi="宋体"/>
          <w:highlight w:val="none"/>
          <w:u w:val="single"/>
          <w:shd w:val="pct10" w:color="auto" w:fill="FFFFFF"/>
        </w:rPr>
        <w:t>3-5</w:t>
      </w:r>
      <w:r>
        <w:rPr>
          <w:rFonts w:hint="eastAsia" w:ascii="宋体" w:hAnsi="宋体"/>
          <w:highlight w:val="none"/>
        </w:rPr>
        <w:t>名技术、维修和操作人员提供不少于</w:t>
      </w:r>
      <w:r>
        <w:rPr>
          <w:rFonts w:hint="eastAsia" w:ascii="宋体" w:hAnsi="宋体"/>
          <w:highlight w:val="none"/>
          <w:u w:val="single"/>
          <w:shd w:val="pct10" w:color="auto" w:fill="FFFFFF"/>
        </w:rPr>
        <w:t>2</w:t>
      </w:r>
      <w:r>
        <w:rPr>
          <w:rFonts w:hint="eastAsia" w:ascii="宋体" w:hAnsi="宋体"/>
          <w:highlight w:val="none"/>
        </w:rPr>
        <w:t>个日历日的免费的理论、技术和操作、维修等方面的技术指导和培训</w:t>
      </w:r>
      <w:r>
        <w:rPr>
          <w:rFonts w:hint="eastAsia"/>
          <w:highlight w:val="none"/>
          <w:lang w:val="zh-CN"/>
        </w:rPr>
        <w:t>。</w:t>
      </w:r>
    </w:p>
    <w:p w14:paraId="6B500D2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2、应负责在招标方设备使用现场，进行1～2次免费的技术指导和培训，并接受招标方有关人员的技术咨询。</w:t>
      </w:r>
    </w:p>
    <w:p w14:paraId="52E83BD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3、应免费提供一定数量的培训资料。</w:t>
      </w:r>
    </w:p>
    <w:p w14:paraId="4D954A3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4、应按要求免费积极协助和提供招标方以及招标方所委托的工程设计单位有关人员所需要的、与设备有关的工程设计资料、技术咨询等。</w:t>
      </w:r>
    </w:p>
    <w:p w14:paraId="3446ED2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5、若投标方提供的设备涉及到外购外协货物、而且该货物的技术质量等较为关键时，投标方应能保证得到配套厂家的技术支持，并免费为招标方提供技术服务。</w:t>
      </w:r>
    </w:p>
    <w:p w14:paraId="399EA63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11AEDA39">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二、安装调试及验收服务</w:t>
      </w:r>
    </w:p>
    <w:p w14:paraId="5E96816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0D66596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2、若投标方提供的设备涉及到外购外协货物、而且该货物的技术质量等较为关键时，应保证能得到供应商的技术支持，并免费为招标方提供安装使用现场的指导与培训。</w:t>
      </w:r>
    </w:p>
    <w:p w14:paraId="03CE12E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2FEEC10A">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936FD5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5、投标方应当向招标方提供货物试验、验收的有关标准、规范和方法，同时提供货物涉及并使用的软件合法性证明。</w:t>
      </w:r>
    </w:p>
    <w:p w14:paraId="659DD6BD">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6、服务缺陷视同货物缺陷和履约延期。</w:t>
      </w:r>
    </w:p>
    <w:p w14:paraId="130CB2EC">
      <w:pPr>
        <w:shd w:val="clear" w:color="auto" w:fill="auto"/>
        <w:adjustRightInd w:val="0"/>
        <w:snapToGrid w:val="0"/>
        <w:spacing w:line="460" w:lineRule="exact"/>
        <w:ind w:firstLine="420" w:firstLineChars="200"/>
        <w:rPr>
          <w:rFonts w:hint="eastAsia" w:ascii="黑体" w:hAnsi="宋体" w:eastAsia="黑体"/>
          <w:highlight w:val="none"/>
        </w:rPr>
      </w:pPr>
    </w:p>
    <w:p w14:paraId="5DB652B0">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三、售后服务</w:t>
      </w:r>
    </w:p>
    <w:p w14:paraId="51195319">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1、投标方提供的设备涉及的所有售后服务均由投标方负责。如果发生问题并且收到通知，投标方应当在2小时内予以答复。</w:t>
      </w:r>
    </w:p>
    <w:p w14:paraId="4A4180F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2、如发现所提供的设备存在问题，需要投标方解决或配合解决时：在质保期之内，应在接到通知后</w:t>
      </w:r>
      <w:r>
        <w:rPr>
          <w:rFonts w:hint="eastAsia" w:ascii="宋体" w:hAnsi="宋体"/>
          <w:highlight w:val="none"/>
          <w:u w:val="single"/>
          <w:shd w:val="pct10" w:color="auto" w:fill="FFFFFF"/>
        </w:rPr>
        <w:t>24</w:t>
      </w:r>
      <w:r>
        <w:rPr>
          <w:rFonts w:hint="eastAsia" w:ascii="宋体" w:hAnsi="宋体"/>
          <w:highlight w:val="none"/>
        </w:rPr>
        <w:t>小时内派有关人员到达现场；在质保期之外，应在接到通知后</w:t>
      </w:r>
      <w:r>
        <w:rPr>
          <w:rFonts w:hint="eastAsia" w:ascii="宋体" w:hAnsi="宋体"/>
          <w:highlight w:val="none"/>
          <w:u w:val="single"/>
          <w:shd w:val="pct10" w:color="auto" w:fill="FFFFFF"/>
        </w:rPr>
        <w:t>24</w:t>
      </w:r>
      <w:r>
        <w:rPr>
          <w:rFonts w:hint="eastAsia" w:ascii="宋体" w:hAnsi="宋体"/>
          <w:highlight w:val="none"/>
        </w:rPr>
        <w:t>小时内派有关人员到达现场。</w:t>
      </w:r>
    </w:p>
    <w:p w14:paraId="1354AEC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3、投标方派往招标方使用现场的人员，应具有较高的业务素质；现场解决问题时，不得无故拖延或推迟，应为招标方提供最佳的服务。</w:t>
      </w:r>
    </w:p>
    <w:p w14:paraId="0252A7AC">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四、其它服务</w:t>
      </w:r>
    </w:p>
    <w:p w14:paraId="13E7B90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1、若投标方所提供设备有需要进口的，投标方一般应自行、自费办理；必要时，买卖双方共同办理。</w:t>
      </w:r>
    </w:p>
    <w:p w14:paraId="388A17A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2、除招标文件、投标文件、答疑文件、技术协议、合同等约定之外，投标方应免费负责必要的或强制性的设备的检验、试验、化验等直接费用。</w:t>
      </w:r>
    </w:p>
    <w:p w14:paraId="3DD1F5EB">
      <w:pPr>
        <w:shd w:val="clear" w:color="auto" w:fill="auto"/>
        <w:spacing w:line="520" w:lineRule="exact"/>
        <w:ind w:firstLine="420" w:firstLineChars="200"/>
        <w:rPr>
          <w:rFonts w:hint="eastAsia"/>
          <w:highlight w:val="none"/>
        </w:rPr>
      </w:pPr>
      <w:r>
        <w:rPr>
          <w:rFonts w:hint="eastAsia" w:ascii="宋体" w:hAnsi="宋体"/>
          <w:highlight w:val="none"/>
        </w:rPr>
        <w:t>3、本章节条款所列“免费”，并非指定不可收费，而是指招标文件、投标文件、</w:t>
      </w:r>
      <w:r>
        <w:rPr>
          <w:rFonts w:hint="eastAsia"/>
          <w:highlight w:val="none"/>
        </w:rPr>
        <w:t>答疑文件、技术交流文件、技术协议书和合同等范围之外，投标方不可另行收取的费用。</w:t>
      </w:r>
    </w:p>
    <w:p w14:paraId="38F1FE68">
      <w:pPr>
        <w:shd w:val="clear" w:color="auto" w:fill="auto"/>
        <w:spacing w:line="480" w:lineRule="exact"/>
        <w:ind w:firstLine="420" w:firstLineChars="200"/>
        <w:rPr>
          <w:rFonts w:hint="eastAsia" w:ascii="宋体" w:hAnsi="宋体"/>
          <w:highlight w:val="none"/>
        </w:rPr>
      </w:pPr>
    </w:p>
    <w:p w14:paraId="13877C13">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71" w:name="_Toc137705873"/>
      <w:bookmarkStart w:id="72" w:name="_Toc21539"/>
      <w:bookmarkStart w:id="73" w:name="_Toc19419"/>
      <w:bookmarkStart w:id="74" w:name="_Toc23200"/>
      <w:bookmarkStart w:id="75" w:name="_Toc9060"/>
      <w:r>
        <w:rPr>
          <w:rFonts w:hint="eastAsia" w:ascii="黑体" w:eastAsia="黑体"/>
          <w:b w:val="0"/>
          <w:sz w:val="24"/>
          <w:szCs w:val="24"/>
          <w:highlight w:val="none"/>
        </w:rPr>
        <w:t>第五章预验收和终验收</w:t>
      </w:r>
      <w:bookmarkEnd w:id="71"/>
      <w:bookmarkEnd w:id="72"/>
      <w:bookmarkEnd w:id="73"/>
      <w:bookmarkEnd w:id="74"/>
      <w:bookmarkEnd w:id="75"/>
    </w:p>
    <w:p w14:paraId="15191FAF">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一、验收的一般约定</w:t>
      </w:r>
    </w:p>
    <w:p w14:paraId="7AA2D4C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1、验收标准一般以技术协议书和合同规定验收。</w:t>
      </w:r>
    </w:p>
    <w:p w14:paraId="430B94AF">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2、如果验收过程中，发现招标文件、投标文件、答疑文件、技术交流文件等与技术协议书、合同存在差异，原则上以涉及条款中对招标方最有利条款为验收依据。</w:t>
      </w:r>
    </w:p>
    <w:p w14:paraId="3B29BC36">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二、检验</w:t>
      </w:r>
    </w:p>
    <w:p w14:paraId="04572FF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1、国产货物的检验由买卖双方按照合同要求或在制造现场进行。</w:t>
      </w:r>
    </w:p>
    <w:p w14:paraId="26887FE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2、进口货物的检验，投标方需要按照下述要求进行：</w:t>
      </w:r>
    </w:p>
    <w:p w14:paraId="0BFFFFAD">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2.1进口货物发货前，应对货物的质量、型号、规格、性能和数量/重量作精密、全面的检验，并出具证明书，证明所供货物符合合同规定。</w:t>
      </w:r>
    </w:p>
    <w:p w14:paraId="2C55C18D">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2.2应依据合同规定的要求，提供买卖双方达成一致的货物的验收标准和装箱单，作为招标方检验的依据。</w:t>
      </w:r>
    </w:p>
    <w:p w14:paraId="15293960">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2.3进口货物到达目的地后，招标方有权申请中国商品检验检疫局进行检验，如发现货物的品质及规格与合同或发票不符，除招标方的责任外，招标方有权在货物到达卸货目的地后18</w:t>
      </w:r>
      <w:r>
        <w:rPr>
          <w:rFonts w:ascii="宋体" w:hAnsi="宋体"/>
          <w:highlight w:val="none"/>
        </w:rPr>
        <w:t>0</w:t>
      </w:r>
      <w:r>
        <w:rPr>
          <w:rFonts w:hint="eastAsia" w:ascii="宋体" w:hAnsi="宋体"/>
          <w:highlight w:val="none"/>
        </w:rPr>
        <w:t>个日历日内，根据中国商品检验检疫局出具的证明书向投标方提出索赔，因索赔所发生的一切费用</w:t>
      </w:r>
      <w:r>
        <w:rPr>
          <w:rFonts w:ascii="宋体" w:hAnsi="宋体"/>
          <w:highlight w:val="none"/>
        </w:rPr>
        <w:t>(</w:t>
      </w:r>
      <w:r>
        <w:rPr>
          <w:rFonts w:hint="eastAsia" w:ascii="宋体" w:hAnsi="宋体"/>
          <w:highlight w:val="none"/>
        </w:rPr>
        <w:t>包括检验检疫费等</w:t>
      </w:r>
      <w:r>
        <w:rPr>
          <w:rFonts w:ascii="宋体" w:hAnsi="宋体"/>
          <w:highlight w:val="none"/>
        </w:rPr>
        <w:t>)</w:t>
      </w:r>
      <w:r>
        <w:rPr>
          <w:rFonts w:hint="eastAsia" w:ascii="宋体" w:hAnsi="宋体"/>
          <w:highlight w:val="none"/>
        </w:rPr>
        <w:t>均由投标方承担。</w:t>
      </w:r>
    </w:p>
    <w:p w14:paraId="4260A4AD">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三、验收基本条件</w:t>
      </w:r>
    </w:p>
    <w:p w14:paraId="0FF4DC7D">
      <w:pPr>
        <w:shd w:val="clear" w:color="auto" w:fill="auto"/>
        <w:adjustRightInd w:val="0"/>
        <w:snapToGrid w:val="0"/>
        <w:spacing w:line="460" w:lineRule="exact"/>
        <w:ind w:firstLine="420" w:firstLineChars="200"/>
        <w:rPr>
          <w:rFonts w:hint="eastAsia" w:ascii="宋体" w:hAnsi="宋体"/>
          <w:highlight w:val="none"/>
        </w:rPr>
      </w:pPr>
      <w:r>
        <w:rPr>
          <w:rFonts w:hint="eastAsia"/>
          <w:highlight w:val="none"/>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highlight w:val="none"/>
        </w:rPr>
        <w:t>时重新检验，最终只以终验收为准。</w:t>
      </w:r>
    </w:p>
    <w:p w14:paraId="555FA0A9">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买卖双方按照合同约定执行了合同，同时设备完成了试运行并经检验合格，则具备验收条件。</w:t>
      </w:r>
    </w:p>
    <w:p w14:paraId="2B861B58">
      <w:pPr>
        <w:shd w:val="clear" w:color="auto" w:fill="auto"/>
        <w:adjustRightInd w:val="0"/>
        <w:snapToGrid w:val="0"/>
        <w:spacing w:line="460" w:lineRule="exact"/>
        <w:ind w:firstLine="420" w:firstLineChars="200"/>
        <w:rPr>
          <w:rFonts w:hint="eastAsia" w:ascii="宋体" w:hAnsi="宋体" w:eastAsia="宋体"/>
          <w:highlight w:val="none"/>
          <w:lang w:eastAsia="zh-CN"/>
        </w:rPr>
      </w:pPr>
      <w:r>
        <w:rPr>
          <w:rFonts w:hint="eastAsia" w:ascii="宋体" w:hAnsi="宋体"/>
          <w:highlight w:val="none"/>
        </w:rPr>
        <w:t>1、预验收一般条件</w:t>
      </w:r>
      <w:r>
        <w:rPr>
          <w:rFonts w:hint="eastAsia" w:ascii="宋体" w:hAnsi="宋体"/>
          <w:highlight w:val="none"/>
          <w:lang w:eastAsia="zh-CN"/>
        </w:rPr>
        <w:t>。</w:t>
      </w:r>
    </w:p>
    <w:p w14:paraId="0074960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1.1投标方已经按照“供货范围”要求提供了预验收资料，并且资料齐全、完整和有效。</w:t>
      </w:r>
    </w:p>
    <w:p w14:paraId="0133FA7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1.2设备应完整且所有的零部件应该安装牢固，外观无损伤，所有的焊缝饱满、无残渣等缺陷。</w:t>
      </w:r>
    </w:p>
    <w:p w14:paraId="17A0CE9D">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1.3一般情况下，所有的管路和线缆等，接头应完全正确、可靠地联接；应排列有序（正确、牢固、整齐），有必要的防护，无皱褶、收缩和裂缝等不良现象。</w:t>
      </w:r>
    </w:p>
    <w:p w14:paraId="00C7020F">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1.4设备的润滑系统工作正常、可靠，润滑点易于到达。</w:t>
      </w:r>
    </w:p>
    <w:p w14:paraId="45C995DD">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1.5使用的压力容器、电气等应具备合格证（如果有压力容器）。</w:t>
      </w:r>
    </w:p>
    <w:p w14:paraId="25BD3DA8">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1.6设备的油漆质量应饱满、有光泽，无掉漆、无色差、无“桔皮”等不良现象（特殊标志除外）。</w:t>
      </w:r>
    </w:p>
    <w:p w14:paraId="751BB971">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1.7设备标牌完整、清晰、明确。</w:t>
      </w:r>
    </w:p>
    <w:p w14:paraId="2F019EA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1.8地线联接和地极符合国际（</w:t>
      </w:r>
      <w:r>
        <w:rPr>
          <w:rFonts w:ascii="宋体" w:hAnsi="宋体"/>
          <w:highlight w:val="none"/>
        </w:rPr>
        <w:t>ISO</w:t>
      </w:r>
      <w:r>
        <w:rPr>
          <w:rFonts w:hint="eastAsia" w:ascii="宋体" w:hAnsi="宋体"/>
          <w:highlight w:val="none"/>
        </w:rPr>
        <w:t>/</w:t>
      </w:r>
      <w:r>
        <w:rPr>
          <w:rFonts w:ascii="宋体" w:hAnsi="宋体"/>
          <w:highlight w:val="none"/>
        </w:rPr>
        <w:t>IEC</w:t>
      </w:r>
      <w:r>
        <w:rPr>
          <w:rFonts w:hint="eastAsia" w:ascii="宋体" w:hAnsi="宋体"/>
          <w:highlight w:val="none"/>
        </w:rPr>
        <w:t>）标准规范。</w:t>
      </w:r>
    </w:p>
    <w:p w14:paraId="0CCE1A2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1.9设备的安全要求符合中国最新的相关法律、法规、标准和规范以及合同要求。</w:t>
      </w:r>
    </w:p>
    <w:p w14:paraId="0D23CCE2">
      <w:pPr>
        <w:shd w:val="clear" w:color="auto" w:fill="auto"/>
        <w:adjustRightInd w:val="0"/>
        <w:snapToGrid w:val="0"/>
        <w:spacing w:line="460" w:lineRule="exact"/>
        <w:ind w:firstLine="420" w:firstLineChars="200"/>
        <w:rPr>
          <w:rFonts w:hint="eastAsia" w:ascii="宋体" w:hAnsi="宋体" w:eastAsia="宋体"/>
          <w:highlight w:val="none"/>
          <w:lang w:eastAsia="zh-CN"/>
        </w:rPr>
      </w:pPr>
      <w:r>
        <w:rPr>
          <w:rFonts w:hint="eastAsia" w:ascii="宋体" w:hAnsi="宋体"/>
          <w:highlight w:val="none"/>
        </w:rPr>
        <w:t>2、终验收一般条件</w:t>
      </w:r>
      <w:r>
        <w:rPr>
          <w:rFonts w:hint="eastAsia" w:ascii="宋体" w:hAnsi="宋体"/>
          <w:highlight w:val="none"/>
          <w:lang w:eastAsia="zh-CN"/>
        </w:rPr>
        <w:t>。</w:t>
      </w:r>
    </w:p>
    <w:p w14:paraId="763FB7DC">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2.1经过预验收而且没有出现新的质量问题，或者满足预验收条款。</w:t>
      </w:r>
    </w:p>
    <w:p w14:paraId="7C38992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2.2设备安装调试完毕，并至少经过了验收要求的负荷试运行。</w:t>
      </w:r>
    </w:p>
    <w:p w14:paraId="692D0EF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2.3设备正常运行时，噪声等环境影响因素满足国家和当地环保主管部门规定，安全措施落实、有效。</w:t>
      </w:r>
    </w:p>
    <w:p w14:paraId="21B8A59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2.4计量仪器、仪表配套合理，采用中国的法定计量单位，计量准确、灵敏可靠。保证设计指标和仪器说明书的参数的实现。</w:t>
      </w:r>
    </w:p>
    <w:p w14:paraId="5C0EFED5">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2.5试运行期间或之后无维修、调整等行为（特殊情况除外）。</w:t>
      </w:r>
    </w:p>
    <w:p w14:paraId="161FBAB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2.6设备质量、技术性能等，达到签定的技术协议书和合同规定的终验收标准。</w:t>
      </w:r>
    </w:p>
    <w:p w14:paraId="0041212B">
      <w:pPr>
        <w:shd w:val="clear" w:color="auto" w:fill="auto"/>
        <w:spacing w:line="480" w:lineRule="exact"/>
        <w:ind w:firstLine="420" w:firstLineChars="200"/>
        <w:rPr>
          <w:rFonts w:hint="eastAsia" w:ascii="宋体" w:hAnsi="宋体" w:eastAsia="宋体"/>
          <w:highlight w:val="none"/>
          <w:lang w:eastAsia="zh-CN"/>
        </w:rPr>
      </w:pPr>
      <w:r>
        <w:rPr>
          <w:rFonts w:hint="eastAsia" w:ascii="宋体" w:hAnsi="宋体"/>
          <w:highlight w:val="none"/>
        </w:rPr>
        <w:t>3、终验收基本要求</w:t>
      </w:r>
      <w:r>
        <w:rPr>
          <w:rFonts w:hint="eastAsia" w:ascii="宋体" w:hAnsi="宋体"/>
          <w:highlight w:val="none"/>
          <w:lang w:eastAsia="zh-CN"/>
        </w:rPr>
        <w:t>。</w:t>
      </w:r>
    </w:p>
    <w:p w14:paraId="525FD3AA">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3.1所有供货清单符合合同要求。</w:t>
      </w:r>
    </w:p>
    <w:p w14:paraId="3C3812A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3.2设备配置及功能与技术协议无偏离。</w:t>
      </w:r>
    </w:p>
    <w:p w14:paraId="23B4536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3.3出现下列问题之一，视作验收失败：</w:t>
      </w:r>
    </w:p>
    <w:p w14:paraId="0F887F6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3.3.1在整个验收过程中发生关键零部件损坏或重大故障；</w:t>
      </w:r>
    </w:p>
    <w:p w14:paraId="694CEE70">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3.3.2一般性故障超过</w:t>
      </w:r>
      <w:r>
        <w:rPr>
          <w:rFonts w:hint="eastAsia" w:ascii="宋体" w:hAnsi="宋体"/>
          <w:highlight w:val="none"/>
          <w:u w:val="single"/>
          <w:shd w:val="pct10" w:color="auto" w:fill="FFFFFF"/>
        </w:rPr>
        <w:t>3</w:t>
      </w:r>
      <w:r>
        <w:rPr>
          <w:rFonts w:hint="eastAsia" w:ascii="宋体" w:hAnsi="宋体"/>
          <w:highlight w:val="none"/>
        </w:rPr>
        <w:t>次；</w:t>
      </w:r>
    </w:p>
    <w:p w14:paraId="448F119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3.3.3所有出现的维修调整，每次时间均不超过</w:t>
      </w:r>
      <w:r>
        <w:rPr>
          <w:rFonts w:hint="eastAsia" w:ascii="宋体" w:hAnsi="宋体"/>
          <w:highlight w:val="none"/>
          <w:u w:val="single"/>
          <w:shd w:val="pct10" w:color="auto" w:fill="FFFFFF"/>
        </w:rPr>
        <w:t>30</w:t>
      </w:r>
      <w:r>
        <w:rPr>
          <w:rFonts w:hint="eastAsia" w:ascii="宋体" w:hAnsi="宋体"/>
          <w:highlight w:val="none"/>
        </w:rPr>
        <w:t>分钟；所有维修调整时间的总和不超过总运行时间的</w:t>
      </w:r>
      <w:r>
        <w:rPr>
          <w:rFonts w:hint="eastAsia" w:ascii="宋体" w:hAnsi="宋体"/>
          <w:highlight w:val="none"/>
          <w:u w:val="single"/>
          <w:shd w:val="pct10" w:color="auto" w:fill="FFFFFF"/>
        </w:rPr>
        <w:t>2</w:t>
      </w:r>
      <w:r>
        <w:rPr>
          <w:rFonts w:hint="eastAsia" w:ascii="宋体" w:hAnsi="宋体"/>
          <w:highlight w:val="none"/>
        </w:rPr>
        <w:t>%；</w:t>
      </w:r>
    </w:p>
    <w:p w14:paraId="173F270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3.3.4更换的零部件货值不超过总货值的</w:t>
      </w:r>
      <w:r>
        <w:rPr>
          <w:rFonts w:hint="eastAsia" w:ascii="宋体" w:hAnsi="宋体"/>
          <w:highlight w:val="none"/>
          <w:u w:val="single"/>
          <w:shd w:val="pct10" w:color="auto" w:fill="FFFFFF"/>
        </w:rPr>
        <w:t>2</w:t>
      </w:r>
      <w:r>
        <w:rPr>
          <w:rFonts w:hint="eastAsia" w:ascii="宋体" w:hAnsi="宋体"/>
          <w:highlight w:val="none"/>
        </w:rPr>
        <w:t>%；</w:t>
      </w:r>
    </w:p>
    <w:p w14:paraId="7134C469">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3.4累计负载运行实际性能达到合同规定；</w:t>
      </w:r>
    </w:p>
    <w:p w14:paraId="32B7770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3.5终验收内容包括以下内容：</w:t>
      </w:r>
    </w:p>
    <w:p w14:paraId="460FE86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3.5.1终验收在招标方车间进行，验收内容包括但不限于设备资料、培训、设备配置、生产节拍、工期、重复定位精度。</w:t>
      </w:r>
    </w:p>
    <w:p w14:paraId="67428B38">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3.5.2投标方在终验收时需提交一份预验收时发现的缺陷和设备故障确认完成整改的汇总表，列入终验收报告。</w:t>
      </w:r>
    </w:p>
    <w:p w14:paraId="1CD63C7A">
      <w:pPr>
        <w:shd w:val="clear" w:color="auto" w:fill="auto"/>
        <w:tabs>
          <w:tab w:val="left" w:pos="1260"/>
        </w:tabs>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3.5.3存在影响节拍、装配质量、安全的缺陷，投标方应及时整改，整改合格后验收和移交。当由于招标方原因影响终验收进度时，则移交日期相应顺延。</w:t>
      </w:r>
    </w:p>
    <w:p w14:paraId="6D81978E">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3.6终验收原则上要求一次完成。若一次验收不成功，最多允许两次；如果出现第三次验收失败，重新作价或退货；</w:t>
      </w:r>
    </w:p>
    <w:p w14:paraId="1D6D853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3.7终验收通过后买卖双方共同签署终验收报告，并移交、核对全部供货范围内物品。</w:t>
      </w:r>
    </w:p>
    <w:p w14:paraId="658F2ED3">
      <w:pPr>
        <w:shd w:val="clear" w:color="auto" w:fill="auto"/>
        <w:adjustRightInd w:val="0"/>
        <w:snapToGrid w:val="0"/>
        <w:spacing w:line="460" w:lineRule="exact"/>
        <w:ind w:firstLine="420" w:firstLineChars="200"/>
        <w:rPr>
          <w:rFonts w:hint="eastAsia" w:ascii="黑体" w:hAnsi="宋体" w:eastAsia="黑体" w:cs="Times New Roman"/>
          <w:highlight w:val="none"/>
        </w:rPr>
      </w:pPr>
      <w:r>
        <w:rPr>
          <w:rFonts w:hint="eastAsia" w:ascii="黑体" w:hAnsi="宋体" w:eastAsia="黑体" w:cs="Times New Roman"/>
          <w:highlight w:val="none"/>
          <w:lang w:val="en-US" w:eastAsia="zh-CN"/>
        </w:rPr>
        <w:t>四、</w:t>
      </w:r>
      <w:r>
        <w:rPr>
          <w:rFonts w:hint="eastAsia" w:ascii="黑体" w:hAnsi="宋体" w:eastAsia="黑体" w:cs="Times New Roman"/>
          <w:highlight w:val="none"/>
        </w:rPr>
        <w:t>固定资产投资项目重要技术要求偏差索赔细则</w:t>
      </w:r>
    </w:p>
    <w:p w14:paraId="71C99AC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1、</w:t>
      </w:r>
      <w:r>
        <w:rPr>
          <w:rFonts w:hint="eastAsia" w:ascii="宋体" w:hAnsi="宋体"/>
          <w:highlight w:val="none"/>
        </w:rPr>
        <w:t>产能节拍偏差</w:t>
      </w:r>
    </w:p>
    <w:p w14:paraId="3634C18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1.1基准值：</w:t>
      </w:r>
    </w:p>
    <w:p w14:paraId="546FBE1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产能节拍是指特定时间段内，生产线或生产工序必须完成一个单位产品所需要的时间间隔，以合同/技术协议内的节拍时间（秒/件）为准。</w:t>
      </w:r>
    </w:p>
    <w:p w14:paraId="3CEEA46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1.2节拍偏差率核算公式：</w:t>
      </w:r>
    </w:p>
    <w:p w14:paraId="3016DD2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 =（实际节拍-约定节拍）÷ 约定节拍 × 100%</w:t>
      </w:r>
    </w:p>
    <w:p w14:paraId="6719519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1.3扣款规则：</w:t>
      </w:r>
    </w:p>
    <w:p w14:paraId="6A07240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节拍偏差率≤3%：视为允许偏差，不扣款；</w:t>
      </w:r>
    </w:p>
    <w:p w14:paraId="17E45D8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节拍偏差率3%＜偏差率≤10%：偏差每超出1%，扣减设备合同价款的1%；</w:t>
      </w:r>
    </w:p>
    <w:p w14:paraId="2F44FA7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节拍偏差率10%＜偏差率≤30%：属重大偏差，偏差每超出1%，扣减设备合同价款的1%；需方有权全部或部分不予验收付款，需方视情况选择解除合同或继续执行合同；</w:t>
      </w:r>
    </w:p>
    <w:p w14:paraId="4BB53A7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节拍偏差率＞30%：属根本违约，需方有权不予验收、不予付款，并有权单方解除合同。</w:t>
      </w:r>
    </w:p>
    <w:p w14:paraId="1C14406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当项目涉及多个产品需进行节拍验收时，参照双方在合同内约定的各个产品节拍偏离扣款基数；如无明确约定，按扣款比例=(节拍超差产品数量/需验收节拍产品数量)*100%进行折算。</w:t>
      </w:r>
    </w:p>
    <w:p w14:paraId="4848A19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2、</w:t>
      </w:r>
      <w:r>
        <w:rPr>
          <w:rFonts w:hint="eastAsia" w:ascii="宋体" w:hAnsi="宋体"/>
          <w:highlight w:val="none"/>
        </w:rPr>
        <w:t>自动化率偏差</w:t>
      </w:r>
    </w:p>
    <w:p w14:paraId="4A9CD46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2.1基准值：</w:t>
      </w:r>
    </w:p>
    <w:p w14:paraId="0470DC7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自动化率是指设备在完成其预定功能时不需要人工干预的程度，以合同/技术协议约定的自动化率为准，按Q/ZZ 30096《产线自动化率核算规范》内规定的计算方法进行核算。</w:t>
      </w:r>
    </w:p>
    <w:p w14:paraId="203E944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2.2自动化率偏差核算公式：</w:t>
      </w:r>
    </w:p>
    <w:p w14:paraId="63D517A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自动化率偏差=约定自动化率-实际达成自动化率</w:t>
      </w:r>
    </w:p>
    <w:p w14:paraId="7F78FE4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2.3扣款规则：</w:t>
      </w:r>
    </w:p>
    <w:p w14:paraId="4933126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自动化率偏差率＜【5】%：视为允许偏差，不扣款；</w:t>
      </w:r>
    </w:p>
    <w:p w14:paraId="2B40CB1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【5】%≤自动化率偏差率＜【15】%：偏差每高1%，扣减对应合同价款的0.5%；</w:t>
      </w:r>
    </w:p>
    <w:p w14:paraId="7C027A2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自动化率偏差率≥【15】%：视为重大偏差，需方有权选择以下任一种扣款方式：①按照额外增加的人工及设备使用年限核算扣款，人工成本按需方实际支出执行扣款，扣款不高于合同总价款的30%；②需方有权全部或部分不予验收付款，并单方解除合同。</w:t>
      </w:r>
    </w:p>
    <w:p w14:paraId="31561B4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3、</w:t>
      </w:r>
      <w:r>
        <w:rPr>
          <w:rFonts w:hint="eastAsia" w:ascii="宋体" w:hAnsi="宋体"/>
          <w:highlight w:val="none"/>
        </w:rPr>
        <w:t>功能及性能偏差</w:t>
      </w:r>
    </w:p>
    <w:p w14:paraId="1BD314C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3.1核心功能 / 主要参数不达标（根本违约）</w:t>
      </w:r>
    </w:p>
    <w:p w14:paraId="4250F68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设备主要功能、核心性能指标、关键技术参数未达到合同及附件《技术协议》约定标准或国家、行业标准，导致项目无法实现核心产能、工艺要求不满足、整体验收不合格的，视为供方根本违约。</w:t>
      </w:r>
    </w:p>
    <w:p w14:paraId="2A7DFEA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需方有权单方解除合同、无条件全额退货退款，供方应在需方通知后 7 个工作日内全额退还需方已支付的全部款项，并承担设备往返运输、拆装、检测、仓储等全部相关费用；同时供方应按合同总金额的20% 向需方支付违约金，违约金不足以弥补需方工期延误、停产损失、第三方索赔等全部实际损失的，供方应就差额部分另行足额赔偿。</w:t>
      </w:r>
    </w:p>
    <w:p w14:paraId="5BB8B03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对于创新性强、技术难度大的挑战性项目，如存在部分关键指标不达标但经需方认定不影响产品、产线使用的，需方可选择让步接收，供方提供不高于合同总金额的20%的折扣作为对需方让步接收的补偿。</w:t>
      </w:r>
    </w:p>
    <w:p w14:paraId="5A35F42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3.2辅助指标 / 配置不符（非根本违约）</w:t>
      </w:r>
    </w:p>
    <w:p w14:paraId="288F5F7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设备主要功能及核心参数均达标、可实现项目核心用途，但辅助性能指标、选配模块、附件配置、软件功能、外观尺寸等与合同约定不符，仅影响辅助性能或使用体验、不影响项目整体运行的，供方应无偿补齐缺失配件、将不符项整改至约定标准，由此产生的全部费用由供方自行承担；若供方无法整改到位，双方应在 30 个工作日内按实际交付状态重新核定合同价款，签订书面补充协议并按调整后价格执行结算。需方有权全部或部分不予验收及付款。</w:t>
      </w:r>
    </w:p>
    <w:p w14:paraId="5AE3382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4、</w:t>
      </w:r>
      <w:r>
        <w:rPr>
          <w:rFonts w:hint="eastAsia" w:ascii="宋体" w:hAnsi="宋体"/>
          <w:highlight w:val="none"/>
        </w:rPr>
        <w:t>交付期偏差</w:t>
      </w:r>
    </w:p>
    <w:p w14:paraId="6EAEA1E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交付期偏差指设备到货、安装调试等过程周期超出合同约定的时间。</w:t>
      </w:r>
    </w:p>
    <w:p w14:paraId="088EBDF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扣款规则：到货或安装调试每迟1个工作日，扣减设备合同价款的10‰作为违约金，如违约金超过合同总价款的20%或因供方原因设备未能通过最终验收，需方有权就供方违约而解除合同，且供方仍须支付上述违约金，返还需方已支付的设备款（如有），并赔偿由此给需方造成的一切损失。</w:t>
      </w:r>
    </w:p>
    <w:p w14:paraId="338A464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5、</w:t>
      </w:r>
      <w:r>
        <w:rPr>
          <w:rFonts w:hint="eastAsia" w:ascii="宋体" w:hAnsi="宋体"/>
          <w:highlight w:val="none"/>
        </w:rPr>
        <w:t>考核与执行流程</w:t>
      </w:r>
    </w:p>
    <w:p w14:paraId="0D0B3FA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5.1供方同意，在需方就索赔扣款及违约金通知供方后，需方有权直接从项目尾款、履约保证金或质保金中优先抵扣相应款项。若抵扣后仍不足以覆盖索赔扣款及违约金金额，供方应就剩余部分另行向需方支付。</w:t>
      </w:r>
    </w:p>
    <w:p w14:paraId="2EEC4AA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5.2 针对同一问题同时触发的多项索赔，不重复扣款，按照索赔金额较高的标准执行，但不同阶段重复发生的不在此限。所有索赔金额不超过合同总金额的30%。</w:t>
      </w:r>
    </w:p>
    <w:p w14:paraId="5BFF49E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6、</w:t>
      </w:r>
      <w:r>
        <w:rPr>
          <w:rFonts w:hint="eastAsia" w:ascii="宋体" w:hAnsi="宋体"/>
          <w:highlight w:val="none"/>
        </w:rPr>
        <w:t>附则</w:t>
      </w:r>
    </w:p>
    <w:p w14:paraId="258990F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本细则作为主合同有效组成部分，与合同、技术协议具有同等法律效力，关于产能节拍偏差、自动化率偏差、功能及性能偏差、延期的索赔扣款及违约金的规定，如有不一致之处，以本细则为准。</w:t>
      </w:r>
    </w:p>
    <w:p w14:paraId="1CD7E373">
      <w:pPr>
        <w:shd w:val="clear" w:color="auto" w:fill="auto"/>
        <w:spacing w:line="480" w:lineRule="exact"/>
        <w:ind w:firstLine="420" w:firstLineChars="200"/>
        <w:rPr>
          <w:rFonts w:hint="eastAsia" w:ascii="宋体" w:hAnsi="宋体"/>
          <w:highlight w:val="none"/>
        </w:rPr>
      </w:pPr>
    </w:p>
    <w:p w14:paraId="7058AF92">
      <w:pPr>
        <w:pStyle w:val="2"/>
        <w:shd w:val="clear" w:color="auto" w:fill="auto"/>
        <w:spacing w:before="120" w:after="120" w:line="480" w:lineRule="exact"/>
        <w:ind w:left="0" w:leftChars="0" w:firstLine="0" w:firstLineChars="0"/>
        <w:jc w:val="center"/>
        <w:rPr>
          <w:rFonts w:hint="eastAsia" w:ascii="黑体" w:eastAsia="黑体"/>
          <w:b w:val="0"/>
          <w:sz w:val="24"/>
          <w:szCs w:val="24"/>
          <w:highlight w:val="none"/>
        </w:rPr>
      </w:pPr>
      <w:bookmarkStart w:id="76" w:name="_Toc28978"/>
      <w:bookmarkStart w:id="77" w:name="_Toc12996"/>
      <w:bookmarkStart w:id="78" w:name="_Toc25335"/>
      <w:bookmarkStart w:id="79" w:name="_Toc137705874"/>
      <w:bookmarkStart w:id="80" w:name="_Toc22000"/>
      <w:r>
        <w:rPr>
          <w:rFonts w:hint="eastAsia" w:ascii="黑体" w:eastAsia="黑体"/>
          <w:b w:val="0"/>
          <w:sz w:val="24"/>
          <w:szCs w:val="24"/>
          <w:highlight w:val="none"/>
        </w:rPr>
        <w:t>第六章投标技术文件一般要求</w:t>
      </w:r>
      <w:bookmarkEnd w:id="76"/>
      <w:bookmarkEnd w:id="77"/>
      <w:bookmarkEnd w:id="78"/>
      <w:bookmarkEnd w:id="79"/>
      <w:bookmarkEnd w:id="80"/>
    </w:p>
    <w:p w14:paraId="64FE5B42">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一、技术文件一般内容要求</w:t>
      </w:r>
    </w:p>
    <w:p w14:paraId="3BCEC2E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1、投标方应认真阅读招标文件和本技术标书，并按要求编写投标技术文件。</w:t>
      </w:r>
    </w:p>
    <w:p w14:paraId="0B4F43D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2、投标技术文件至少应对投标设备的功能用途、技术性能、质量标准、技术参数等作出详细说明。</w:t>
      </w:r>
    </w:p>
    <w:p w14:paraId="382B9C0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3、投标技术文件至少应根据投标设备的关键设备、总成、零部件或系统作出优越性说明。</w:t>
      </w:r>
    </w:p>
    <w:p w14:paraId="05024E2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4、投标技术文件至少应按照招标文件要求（或投标方建议）列明备品备件、易损件和专用耗材明细。</w:t>
      </w:r>
    </w:p>
    <w:p w14:paraId="2B2BD87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5、投标方应当而且必须分别说明所列备品备件、易损件和专用耗材的使用寿命（以有效工作小时数说明）。</w:t>
      </w:r>
    </w:p>
    <w:p w14:paraId="2E61BB5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6、投标的设备，应当根据其配置和备品备件、易损件、专用耗材情况，尽可能详细且分类填入下表：</w:t>
      </w:r>
    </w:p>
    <w:p w14:paraId="19D8006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6.1投标设备配置一览表：</w:t>
      </w:r>
    </w:p>
    <w:p w14:paraId="5B864F66">
      <w:pPr>
        <w:shd w:val="clear" w:color="auto" w:fill="auto"/>
        <w:adjustRightInd w:val="0"/>
        <w:snapToGrid w:val="0"/>
        <w:spacing w:line="460" w:lineRule="exact"/>
        <w:ind w:firstLine="1890" w:firstLineChars="900"/>
        <w:rPr>
          <w:rFonts w:hint="eastAsia" w:ascii="宋体" w:hAnsi="宋体"/>
          <w:highlight w:val="none"/>
        </w:rPr>
      </w:pPr>
      <w:r>
        <w:rPr>
          <w:rFonts w:hint="eastAsia" w:ascii="宋体" w:hAnsi="宋体"/>
          <w:highlight w:val="none"/>
        </w:rPr>
        <w:t>投标货物配置一览表</w:t>
      </w:r>
      <w:r>
        <w:rPr>
          <w:rFonts w:hint="eastAsia" w:ascii="宋体" w:hAnsi="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B5D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16" w:type="dxa"/>
            <w:noWrap w:val="0"/>
            <w:vAlign w:val="top"/>
          </w:tcPr>
          <w:p w14:paraId="47739CBA">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序号</w:t>
            </w:r>
          </w:p>
        </w:tc>
        <w:tc>
          <w:tcPr>
            <w:tcW w:w="1924" w:type="dxa"/>
            <w:noWrap w:val="0"/>
            <w:vAlign w:val="top"/>
          </w:tcPr>
          <w:p w14:paraId="1B433709">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名称</w:t>
            </w:r>
          </w:p>
        </w:tc>
        <w:tc>
          <w:tcPr>
            <w:tcW w:w="1236" w:type="dxa"/>
            <w:noWrap w:val="0"/>
            <w:vAlign w:val="top"/>
          </w:tcPr>
          <w:p w14:paraId="5B85145C">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型号规格</w:t>
            </w:r>
          </w:p>
        </w:tc>
        <w:tc>
          <w:tcPr>
            <w:tcW w:w="720" w:type="dxa"/>
            <w:noWrap w:val="0"/>
            <w:vAlign w:val="top"/>
          </w:tcPr>
          <w:p w14:paraId="3555345B">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单位</w:t>
            </w:r>
          </w:p>
        </w:tc>
        <w:tc>
          <w:tcPr>
            <w:tcW w:w="720" w:type="dxa"/>
            <w:noWrap w:val="0"/>
            <w:vAlign w:val="top"/>
          </w:tcPr>
          <w:p w14:paraId="17BA0676">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数量</w:t>
            </w:r>
          </w:p>
        </w:tc>
        <w:tc>
          <w:tcPr>
            <w:tcW w:w="720" w:type="dxa"/>
            <w:noWrap w:val="0"/>
            <w:vAlign w:val="top"/>
          </w:tcPr>
          <w:p w14:paraId="756DFD58">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单价</w:t>
            </w:r>
          </w:p>
        </w:tc>
        <w:tc>
          <w:tcPr>
            <w:tcW w:w="720" w:type="dxa"/>
            <w:noWrap w:val="0"/>
            <w:vAlign w:val="top"/>
          </w:tcPr>
          <w:p w14:paraId="55E83406">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总价</w:t>
            </w:r>
          </w:p>
        </w:tc>
        <w:tc>
          <w:tcPr>
            <w:tcW w:w="2235" w:type="dxa"/>
            <w:noWrap w:val="0"/>
            <w:vAlign w:val="top"/>
          </w:tcPr>
          <w:p w14:paraId="66AB7EF5">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制造商</w:t>
            </w:r>
          </w:p>
        </w:tc>
      </w:tr>
      <w:tr w14:paraId="2B9B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E5E812A">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1DA66EF9">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34E5DFC3">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46C64D0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62A4D5A">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C433A7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80BB335">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42E840A8">
            <w:pPr>
              <w:shd w:val="clear" w:color="auto" w:fill="auto"/>
              <w:adjustRightInd w:val="0"/>
              <w:snapToGrid w:val="0"/>
              <w:spacing w:line="360" w:lineRule="exact"/>
              <w:rPr>
                <w:rFonts w:hint="eastAsia" w:ascii="宋体" w:hAnsi="宋体"/>
                <w:sz w:val="21"/>
                <w:highlight w:val="none"/>
              </w:rPr>
            </w:pPr>
          </w:p>
        </w:tc>
      </w:tr>
      <w:tr w14:paraId="3747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DF9F7C0">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5F2BD0A0">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15481531">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5D7AE1F8">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D886DEB">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B0AF592">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4824696">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5296993D">
            <w:pPr>
              <w:shd w:val="clear" w:color="auto" w:fill="auto"/>
              <w:adjustRightInd w:val="0"/>
              <w:snapToGrid w:val="0"/>
              <w:spacing w:line="360" w:lineRule="exact"/>
              <w:rPr>
                <w:rFonts w:hint="eastAsia" w:ascii="宋体" w:hAnsi="宋体"/>
                <w:sz w:val="21"/>
                <w:highlight w:val="none"/>
              </w:rPr>
            </w:pPr>
          </w:p>
        </w:tc>
      </w:tr>
      <w:tr w14:paraId="6C32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E001E68">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7E66EAF2">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45C0C482">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1CEA5DB5">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F4987BF">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7A93413">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1C55185E">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7B39729B">
            <w:pPr>
              <w:shd w:val="clear" w:color="auto" w:fill="auto"/>
              <w:adjustRightInd w:val="0"/>
              <w:snapToGrid w:val="0"/>
              <w:spacing w:line="360" w:lineRule="exact"/>
              <w:rPr>
                <w:rFonts w:hint="eastAsia" w:ascii="宋体" w:hAnsi="宋体"/>
                <w:sz w:val="21"/>
                <w:highlight w:val="none"/>
              </w:rPr>
            </w:pPr>
          </w:p>
        </w:tc>
      </w:tr>
      <w:tr w14:paraId="0835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4FDCC29">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342A1A77">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519E5839">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680918F8">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697374A8">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62853A32">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6B7E9B88">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3FB800A5">
            <w:pPr>
              <w:shd w:val="clear" w:color="auto" w:fill="auto"/>
              <w:adjustRightInd w:val="0"/>
              <w:snapToGrid w:val="0"/>
              <w:spacing w:line="360" w:lineRule="exact"/>
              <w:rPr>
                <w:rFonts w:hint="eastAsia" w:ascii="宋体" w:hAnsi="宋体"/>
                <w:sz w:val="21"/>
                <w:highlight w:val="none"/>
              </w:rPr>
            </w:pPr>
          </w:p>
        </w:tc>
      </w:tr>
      <w:tr w14:paraId="0619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F93EF82">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54EB9D96">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3903215A">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373A6AD0">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9659311">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0109C98B">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8AC3A14">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1DA114AB">
            <w:pPr>
              <w:shd w:val="clear" w:color="auto" w:fill="auto"/>
              <w:adjustRightInd w:val="0"/>
              <w:snapToGrid w:val="0"/>
              <w:spacing w:line="360" w:lineRule="exact"/>
              <w:rPr>
                <w:rFonts w:hint="eastAsia" w:ascii="宋体" w:hAnsi="宋体"/>
                <w:sz w:val="21"/>
                <w:highlight w:val="none"/>
              </w:rPr>
            </w:pPr>
          </w:p>
        </w:tc>
      </w:tr>
      <w:tr w14:paraId="6EBB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3F2CF57">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55B14284">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73F25E43">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0724BE1F">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4643B346">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16BBBC0E">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6D41131">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4FE3F14B">
            <w:pPr>
              <w:shd w:val="clear" w:color="auto" w:fill="auto"/>
              <w:adjustRightInd w:val="0"/>
              <w:snapToGrid w:val="0"/>
              <w:spacing w:line="360" w:lineRule="exact"/>
              <w:rPr>
                <w:rFonts w:hint="eastAsia" w:ascii="宋体" w:hAnsi="宋体"/>
                <w:sz w:val="21"/>
                <w:highlight w:val="none"/>
              </w:rPr>
            </w:pPr>
          </w:p>
        </w:tc>
      </w:tr>
    </w:tbl>
    <w:p w14:paraId="1B4A35E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6.2备品备件、易损件和专用耗材明细表：</w:t>
      </w:r>
    </w:p>
    <w:p w14:paraId="75BEFAE5">
      <w:pPr>
        <w:shd w:val="clear" w:color="auto" w:fill="auto"/>
        <w:adjustRightInd w:val="0"/>
        <w:snapToGrid w:val="0"/>
        <w:spacing w:line="460" w:lineRule="exact"/>
        <w:ind w:firstLine="1890" w:firstLineChars="900"/>
        <w:rPr>
          <w:rFonts w:hint="eastAsia" w:ascii="宋体" w:hAnsi="宋体"/>
          <w:highlight w:val="none"/>
        </w:rPr>
      </w:pPr>
      <w:r>
        <w:rPr>
          <w:rFonts w:hint="eastAsia" w:ascii="宋体" w:hAnsi="宋体"/>
          <w:highlight w:val="none"/>
        </w:rPr>
        <w:t>备品备件、易损件和专用耗材明细表</w:t>
      </w:r>
      <w:r>
        <w:rPr>
          <w:rFonts w:hint="eastAsia" w:ascii="宋体" w:hAnsi="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2A2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5D10DC4">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序号</w:t>
            </w:r>
          </w:p>
        </w:tc>
        <w:tc>
          <w:tcPr>
            <w:tcW w:w="1924" w:type="dxa"/>
            <w:noWrap w:val="0"/>
            <w:vAlign w:val="top"/>
          </w:tcPr>
          <w:p w14:paraId="3C22CAC0">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名称</w:t>
            </w:r>
          </w:p>
        </w:tc>
        <w:tc>
          <w:tcPr>
            <w:tcW w:w="1236" w:type="dxa"/>
            <w:noWrap w:val="0"/>
            <w:vAlign w:val="top"/>
          </w:tcPr>
          <w:p w14:paraId="61FCF32A">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型号规格</w:t>
            </w:r>
          </w:p>
        </w:tc>
        <w:tc>
          <w:tcPr>
            <w:tcW w:w="720" w:type="dxa"/>
            <w:noWrap w:val="0"/>
            <w:vAlign w:val="top"/>
          </w:tcPr>
          <w:p w14:paraId="607F4990">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单位</w:t>
            </w:r>
          </w:p>
        </w:tc>
        <w:tc>
          <w:tcPr>
            <w:tcW w:w="720" w:type="dxa"/>
            <w:noWrap w:val="0"/>
            <w:vAlign w:val="top"/>
          </w:tcPr>
          <w:p w14:paraId="13670D58">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数量</w:t>
            </w:r>
          </w:p>
        </w:tc>
        <w:tc>
          <w:tcPr>
            <w:tcW w:w="720" w:type="dxa"/>
            <w:noWrap w:val="0"/>
            <w:vAlign w:val="top"/>
          </w:tcPr>
          <w:p w14:paraId="76F49CD5">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单价</w:t>
            </w:r>
          </w:p>
        </w:tc>
        <w:tc>
          <w:tcPr>
            <w:tcW w:w="720" w:type="dxa"/>
            <w:noWrap w:val="0"/>
            <w:vAlign w:val="top"/>
          </w:tcPr>
          <w:p w14:paraId="57ED2FF7">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总价</w:t>
            </w:r>
          </w:p>
        </w:tc>
        <w:tc>
          <w:tcPr>
            <w:tcW w:w="2235" w:type="dxa"/>
            <w:noWrap w:val="0"/>
            <w:vAlign w:val="top"/>
          </w:tcPr>
          <w:p w14:paraId="41FDF5F2">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制造商</w:t>
            </w:r>
          </w:p>
        </w:tc>
      </w:tr>
      <w:tr w14:paraId="7A10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519E444">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5FFF99DC">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63514646">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15ECA9F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F43BB12">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12A74B6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B398ED9">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4502F57F">
            <w:pPr>
              <w:shd w:val="clear" w:color="auto" w:fill="auto"/>
              <w:adjustRightInd w:val="0"/>
              <w:snapToGrid w:val="0"/>
              <w:spacing w:line="360" w:lineRule="exact"/>
              <w:rPr>
                <w:rFonts w:hint="eastAsia" w:ascii="宋体" w:hAnsi="宋体"/>
                <w:sz w:val="21"/>
                <w:highlight w:val="none"/>
              </w:rPr>
            </w:pPr>
          </w:p>
        </w:tc>
      </w:tr>
      <w:tr w14:paraId="0DAF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D1E75E5">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645ABD6E">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3B075387">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7E9D610A">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B536A57">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13EBAB86">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0ACFF7B8">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21FDE323">
            <w:pPr>
              <w:shd w:val="clear" w:color="auto" w:fill="auto"/>
              <w:adjustRightInd w:val="0"/>
              <w:snapToGrid w:val="0"/>
              <w:spacing w:line="360" w:lineRule="exact"/>
              <w:rPr>
                <w:rFonts w:hint="eastAsia" w:ascii="宋体" w:hAnsi="宋体"/>
                <w:sz w:val="21"/>
                <w:highlight w:val="none"/>
              </w:rPr>
            </w:pPr>
          </w:p>
        </w:tc>
      </w:tr>
      <w:tr w14:paraId="2AE9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C44B7A6">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1651ED30">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0548BC05">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2D151341">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0B41ED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11974C7">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D43F894">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29B41922">
            <w:pPr>
              <w:shd w:val="clear" w:color="auto" w:fill="auto"/>
              <w:adjustRightInd w:val="0"/>
              <w:snapToGrid w:val="0"/>
              <w:spacing w:line="360" w:lineRule="exact"/>
              <w:rPr>
                <w:rFonts w:hint="eastAsia" w:ascii="宋体" w:hAnsi="宋体"/>
                <w:sz w:val="21"/>
                <w:highlight w:val="none"/>
              </w:rPr>
            </w:pPr>
          </w:p>
        </w:tc>
      </w:tr>
      <w:tr w14:paraId="01AB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8785BB9">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7DFB5F5C">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1A88466B">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7CD5270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3358887">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FCA22D9">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002E686">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234D6DDD">
            <w:pPr>
              <w:shd w:val="clear" w:color="auto" w:fill="auto"/>
              <w:adjustRightInd w:val="0"/>
              <w:snapToGrid w:val="0"/>
              <w:spacing w:line="360" w:lineRule="exact"/>
              <w:rPr>
                <w:rFonts w:hint="eastAsia" w:ascii="宋体" w:hAnsi="宋体"/>
                <w:sz w:val="21"/>
                <w:highlight w:val="none"/>
              </w:rPr>
            </w:pPr>
          </w:p>
        </w:tc>
      </w:tr>
      <w:tr w14:paraId="0DD3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CE92DCD">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24E2D731">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678D4D7C">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694AE9EB">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AA365CB">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BEA12C8">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E37EC57">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3AC3932B">
            <w:pPr>
              <w:shd w:val="clear" w:color="auto" w:fill="auto"/>
              <w:adjustRightInd w:val="0"/>
              <w:snapToGrid w:val="0"/>
              <w:spacing w:line="360" w:lineRule="exact"/>
              <w:rPr>
                <w:rFonts w:hint="eastAsia" w:ascii="宋体" w:hAnsi="宋体"/>
                <w:sz w:val="21"/>
                <w:highlight w:val="none"/>
              </w:rPr>
            </w:pPr>
          </w:p>
        </w:tc>
      </w:tr>
      <w:tr w14:paraId="385B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0190767">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7ABC6889">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786F57B6">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75BC4824">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74E6DF7">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40CCB84">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466229B4">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2D2D87E1">
            <w:pPr>
              <w:shd w:val="clear" w:color="auto" w:fill="auto"/>
              <w:adjustRightInd w:val="0"/>
              <w:snapToGrid w:val="0"/>
              <w:spacing w:line="360" w:lineRule="exact"/>
              <w:rPr>
                <w:rFonts w:hint="eastAsia" w:ascii="宋体" w:hAnsi="宋体"/>
                <w:sz w:val="21"/>
                <w:highlight w:val="none"/>
              </w:rPr>
            </w:pPr>
          </w:p>
        </w:tc>
      </w:tr>
    </w:tbl>
    <w:p w14:paraId="24639E81">
      <w:pPr>
        <w:shd w:val="clear" w:color="auto" w:fill="auto"/>
        <w:adjustRightInd w:val="0"/>
        <w:snapToGrid w:val="0"/>
        <w:spacing w:line="360" w:lineRule="exact"/>
        <w:ind w:firstLine="420" w:firstLineChars="200"/>
        <w:rPr>
          <w:rFonts w:hint="eastAsia" w:ascii="宋体" w:hAnsi="宋体"/>
          <w:sz w:val="21"/>
          <w:highlight w:val="none"/>
        </w:rPr>
      </w:pPr>
    </w:p>
    <w:p w14:paraId="479AE8E1">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6.3“一览表”和“明细表”仅作为投标方编制投标技术文件的一般格式。其中序号编写应当便于招标方了解分类或分项货物之间的所属关系，如1、1.1、1.2。</w:t>
      </w:r>
    </w:p>
    <w:p w14:paraId="4F3AC9D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6.4应当尽可能将设备的配置列全、列细，这将有助于投标方胜出。</w:t>
      </w:r>
    </w:p>
    <w:p w14:paraId="32F1262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6.5单价与总价之间、总价与分类小计价之间、分类小计价与合计价之间数据应当齐全而且准确。</w:t>
      </w:r>
    </w:p>
    <w:p w14:paraId="4B36641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6.6本条款表格中的制造商，应当为全称或公认的简称。</w:t>
      </w:r>
    </w:p>
    <w:p w14:paraId="081508D4">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二、技术文件中设备报价格式要求</w:t>
      </w:r>
    </w:p>
    <w:p w14:paraId="25F6E6F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54D4C075">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24D5564">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3、如果投标总报价与其它价格出现错误或不一致，将有可能导致废标。</w:t>
      </w:r>
    </w:p>
    <w:p w14:paraId="14D719E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4、投标总报价为自合同签定生效至合同无异议执行完毕涉及的招标方需要支付的全部费用。如投标方认为本招标及投标设备涉及专门的设计，应当列明设计费。</w:t>
      </w:r>
    </w:p>
    <w:p w14:paraId="27CBF89C">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5、备品备件、易损件和专用耗材，招标方将可能与投标方按照投标价格另行签署供货合同。</w:t>
      </w:r>
    </w:p>
    <w:p w14:paraId="0DEDAC14">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6、要求投标总报价、分项报价、明细报价之间应当具有相互间对应关系以及填报分项和明细报价，仅为便于评标而不妨碍投标人以最合适的形式签署合同。</w:t>
      </w:r>
    </w:p>
    <w:p w14:paraId="1A2238B6">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三、验收标准及内容要求</w:t>
      </w:r>
    </w:p>
    <w:p w14:paraId="6EDE07E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56A41127">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81" w:name="_Toc6037"/>
      <w:bookmarkStart w:id="82" w:name="_Toc137705875"/>
      <w:bookmarkStart w:id="83" w:name="_Toc31849"/>
      <w:bookmarkStart w:id="84" w:name="_Toc15099"/>
      <w:bookmarkStart w:id="85" w:name="_Toc5388"/>
      <w:r>
        <w:rPr>
          <w:rFonts w:hint="eastAsia" w:ascii="黑体" w:eastAsia="黑体"/>
          <w:b w:val="0"/>
          <w:sz w:val="24"/>
          <w:szCs w:val="24"/>
          <w:highlight w:val="none"/>
        </w:rPr>
        <w:t>第七章其它要求及说明</w:t>
      </w:r>
      <w:bookmarkEnd w:id="81"/>
      <w:bookmarkEnd w:id="82"/>
      <w:bookmarkEnd w:id="83"/>
      <w:bookmarkEnd w:id="84"/>
      <w:bookmarkEnd w:id="85"/>
    </w:p>
    <w:p w14:paraId="5F317294">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一、要求</w:t>
      </w:r>
    </w:p>
    <w:p w14:paraId="6B3D18D0">
      <w:pPr>
        <w:pStyle w:val="20"/>
        <w:shd w:val="clear" w:color="auto" w:fill="auto"/>
        <w:rPr>
          <w:rFonts w:hint="eastAsia"/>
          <w:highlight w:val="none"/>
        </w:rPr>
      </w:pPr>
      <w:r>
        <w:rPr>
          <w:rFonts w:hint="eastAsia"/>
          <w:highlight w:val="none"/>
        </w:rPr>
        <w:t>为保证本技术标书所列采购设备的质量以及先进性、可靠性、经济性和实用性，要求投标方在投标文件中，至少应具备以下资格证明文件或资料：</w:t>
      </w:r>
    </w:p>
    <w:p w14:paraId="66C04B0B">
      <w:pPr>
        <w:shd w:val="clear" w:color="auto" w:fill="auto"/>
        <w:spacing w:line="520" w:lineRule="exact"/>
        <w:ind w:firstLine="417" w:firstLineChars="199"/>
        <w:rPr>
          <w:rFonts w:hint="eastAsia" w:ascii="宋体" w:hAnsi="宋体"/>
          <w:highlight w:val="none"/>
        </w:rPr>
      </w:pPr>
      <w:r>
        <w:rPr>
          <w:rFonts w:hint="eastAsia" w:ascii="宋体" w:hAnsi="宋体"/>
          <w:highlight w:val="none"/>
        </w:rPr>
        <w:t>1、投标方应是独立法人或得到法人授权的机构。应当在投标文件中提供法人营业执照（复印件）、税务登记证以及组织机构代码证（国外供应商参考该要求提供有效证明文件），并保证其真实性和有效性。</w:t>
      </w:r>
    </w:p>
    <w:p w14:paraId="19FBC2F4">
      <w:pPr>
        <w:shd w:val="clear" w:color="auto" w:fill="auto"/>
        <w:spacing w:line="520" w:lineRule="exact"/>
        <w:ind w:firstLine="417" w:firstLineChars="199"/>
        <w:rPr>
          <w:rFonts w:hint="eastAsia"/>
          <w:highlight w:val="none"/>
        </w:rPr>
      </w:pPr>
      <w:r>
        <w:rPr>
          <w:rFonts w:hint="eastAsia" w:ascii="宋体" w:hAnsi="宋体"/>
          <w:highlight w:val="none"/>
        </w:rPr>
        <w:t>2、投标方应当是通过有关资格认证的法人。应当在投标文件中提供有效期内的资格认证证</w:t>
      </w:r>
      <w:r>
        <w:rPr>
          <w:rFonts w:hint="eastAsia"/>
          <w:highlight w:val="none"/>
        </w:rPr>
        <w:t>书，如：ISO9001、VDA6.1、QS9000等。</w:t>
      </w:r>
    </w:p>
    <w:p w14:paraId="40EC69EF">
      <w:pPr>
        <w:shd w:val="clear" w:color="auto" w:fill="auto"/>
        <w:spacing w:line="520" w:lineRule="exact"/>
        <w:ind w:firstLine="417" w:firstLineChars="199"/>
        <w:rPr>
          <w:rFonts w:hint="eastAsia" w:ascii="宋体" w:hAnsi="宋体"/>
          <w:highlight w:val="none"/>
        </w:rPr>
      </w:pPr>
      <w:r>
        <w:rPr>
          <w:rFonts w:hint="eastAsia" w:ascii="宋体" w:hAnsi="宋体"/>
          <w:highlight w:val="none"/>
        </w:rPr>
        <w:t>3、国产设备应附有采购设备涉及的由“中国质量认证中心”颁发的《中国国家强制性产品认证证书》（CCC证书）。</w:t>
      </w:r>
    </w:p>
    <w:p w14:paraId="13B4E9F4">
      <w:pPr>
        <w:shd w:val="clear" w:color="auto" w:fill="auto"/>
        <w:spacing w:line="520" w:lineRule="exact"/>
        <w:ind w:firstLine="417" w:firstLineChars="199"/>
        <w:rPr>
          <w:rFonts w:hint="eastAsia" w:ascii="宋体" w:hAnsi="宋体"/>
          <w:highlight w:val="none"/>
        </w:rPr>
      </w:pPr>
      <w:r>
        <w:rPr>
          <w:rFonts w:hint="eastAsia" w:ascii="宋体" w:hAnsi="宋体"/>
          <w:highlight w:val="none"/>
        </w:rPr>
        <w:t>4、应附有其它与投标单位、采购货物有关的荣誉证书或资料。</w:t>
      </w:r>
    </w:p>
    <w:p w14:paraId="01E84B3F">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5、必须附有投标货物涉及产品要求的、国家或行业管理规定要求的、或者投标方认为能够体现其投标货物合法性及先进性的最高级别的证明材料（投标货物不涉及的除外）：</w:t>
      </w:r>
    </w:p>
    <w:p w14:paraId="7B598F04">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5.1国家相关机构颁发的有效期之内所必需的《生产许可证》。</w:t>
      </w:r>
    </w:p>
    <w:p w14:paraId="79FC3AE7">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5.2产品（或技术）鉴定报告/证书、专利证书或专利许可证书、新技术成果证书等。</w:t>
      </w:r>
    </w:p>
    <w:p w14:paraId="379CE484">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5.3产品相关检验、试验报告，如：型式试验检验报告、安全试验检验报告、电弧效应试验报告、噪声检测报告等</w:t>
      </w:r>
    </w:p>
    <w:p w14:paraId="75CDE991">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5.4其它能够证明所供设备的质量水平、技术水平、安全性水平、节能性水平、环保性水平等相关的其它证明文件或资料、报告等。</w:t>
      </w:r>
    </w:p>
    <w:p w14:paraId="7BDD3872">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5.5该类报告或证明材料对于投标方胜出乃至中标极为重要！</w:t>
      </w:r>
    </w:p>
    <w:p w14:paraId="29215874">
      <w:pPr>
        <w:shd w:val="clear" w:color="auto" w:fill="auto"/>
        <w:spacing w:line="520" w:lineRule="exact"/>
        <w:ind w:firstLine="417" w:firstLineChars="199"/>
        <w:rPr>
          <w:rFonts w:hint="eastAsia" w:ascii="宋体" w:hAnsi="宋体"/>
          <w:highlight w:val="none"/>
        </w:rPr>
      </w:pPr>
      <w:r>
        <w:rPr>
          <w:rFonts w:hint="eastAsia" w:ascii="宋体" w:hAnsi="宋体"/>
          <w:highlight w:val="none"/>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0DC29CE9">
      <w:pPr>
        <w:shd w:val="clear" w:color="auto" w:fill="auto"/>
        <w:spacing w:line="520" w:lineRule="exact"/>
        <w:ind w:firstLine="417" w:firstLineChars="199"/>
        <w:rPr>
          <w:rFonts w:hint="eastAsia" w:ascii="黑体" w:hAnsi="宋体" w:eastAsia="黑体"/>
          <w:highlight w:val="none"/>
        </w:rPr>
      </w:pPr>
      <w:r>
        <w:rPr>
          <w:rFonts w:hint="eastAsia" w:ascii="黑体" w:hAnsi="宋体" w:eastAsia="黑体"/>
          <w:highlight w:val="none"/>
        </w:rPr>
        <w:t>二、说明</w:t>
      </w:r>
    </w:p>
    <w:p w14:paraId="36F8ACE7">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1、投标方可以根据自身的技术、经验等优势以及对招标文件和本技术标书的理解，写明对招标方所采购设备的优化方案或建议意见。投标方的这些努力，招标方表示感谢，并将有助于投标方优先胜出。</w:t>
      </w:r>
    </w:p>
    <w:p w14:paraId="0473476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2、即使有建议意见或建议方案，仍应依据招标文件和本技术标书要求，编写符合要求的投标文件。建议方案或建议意见，应以单独篇章或文件，予以说明。</w:t>
      </w:r>
    </w:p>
    <w:p w14:paraId="29A1A234">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3、请投标方仔细阅读“采购货物概况”章节内说明，针对允许分投分中的设备，招标方有权利选择其中优秀设备或服务，作为投标方合同供货范围中的指定选用设备或服务（替代投标方分投而未中标部分）。</w:t>
      </w:r>
    </w:p>
    <w:p w14:paraId="7EDD0052">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4、招标文件、投标文件、答疑文件、技术交流文件、技术协议书等，在采购过程全部为有效文件，如有差异，以对招标方最有利的条款为准。</w:t>
      </w:r>
    </w:p>
    <w:p w14:paraId="737C2FA1">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5、为避免歧异，本技术标书涉及招投标环节的条款，均将潜在的卖方称为投标方、将</w:t>
      </w:r>
      <w:r>
        <w:rPr>
          <w:rFonts w:hint="eastAsia" w:ascii="宋体" w:hAnsi="宋体"/>
          <w:highlight w:val="none"/>
          <w:lang w:eastAsia="zh-CN"/>
        </w:rPr>
        <w:t>招标方</w:t>
      </w:r>
      <w:r>
        <w:rPr>
          <w:rFonts w:hint="eastAsia" w:ascii="宋体" w:hAnsi="宋体"/>
          <w:highlight w:val="none"/>
        </w:rPr>
        <w:t>称为招标方；定标后合同签署环节以及后续的合同执行环节条款，招标方称为</w:t>
      </w:r>
      <w:r>
        <w:rPr>
          <w:rFonts w:hint="eastAsia" w:ascii="宋体" w:hAnsi="宋体"/>
          <w:highlight w:val="none"/>
          <w:lang w:eastAsia="zh-CN"/>
        </w:rPr>
        <w:t>招标方</w:t>
      </w:r>
      <w:r>
        <w:rPr>
          <w:rFonts w:hint="eastAsia" w:ascii="宋体" w:hAnsi="宋体"/>
          <w:highlight w:val="none"/>
        </w:rPr>
        <w:t>、投标方中的中标方称为卖方。</w:t>
      </w:r>
    </w:p>
    <w:p w14:paraId="2FE25212">
      <w:pPr>
        <w:shd w:val="clear" w:color="auto" w:fill="auto"/>
        <w:spacing w:line="480" w:lineRule="exact"/>
        <w:rPr>
          <w:rFonts w:hint="eastAsia" w:ascii="宋体" w:hAnsi="宋体"/>
          <w:highlight w:val="none"/>
        </w:rPr>
      </w:pPr>
    </w:p>
    <w:p w14:paraId="2A079D74">
      <w:pPr>
        <w:shd w:val="clear" w:color="auto" w:fill="auto"/>
        <w:spacing w:line="480" w:lineRule="exact"/>
        <w:ind w:firstLine="420" w:firstLineChars="200"/>
        <w:rPr>
          <w:rFonts w:hint="eastAsia" w:ascii="宋体" w:hAnsi="宋体"/>
          <w:highlight w:val="none"/>
        </w:rPr>
      </w:pPr>
      <w:r>
        <w:rPr>
          <w:rFonts w:hint="eastAsia" w:ascii="宋体" w:hAnsi="宋体"/>
          <w:b/>
          <w:highlight w:val="none"/>
        </w:rPr>
        <w:t>技术部分答疑人：荣铭宇19953181741</w:t>
      </w:r>
    </w:p>
    <w:p w14:paraId="3823A89F"/>
    <w:p w14:paraId="1A0633ED"/>
    <w:p w14:paraId="237AAA16">
      <w:pPr>
        <w:spacing w:line="360" w:lineRule="auto"/>
        <w:jc w:val="center"/>
        <w:outlineLvl w:val="0"/>
        <w:rPr>
          <w:rFonts w:hint="eastAsia" w:ascii="宋体" w:hAnsi="宋体" w:eastAsia="宋体" w:cs="Times New Roman"/>
          <w:b/>
          <w:sz w:val="36"/>
          <w:szCs w:val="36"/>
        </w:rPr>
      </w:pPr>
    </w:p>
    <w:p w14:paraId="3A336024">
      <w:pPr>
        <w:spacing w:line="360" w:lineRule="auto"/>
        <w:jc w:val="center"/>
        <w:outlineLvl w:val="0"/>
        <w:rPr>
          <w:rFonts w:hint="eastAsia" w:ascii="宋体" w:hAnsi="宋体" w:eastAsia="宋体" w:cs="Times New Roman"/>
          <w:b/>
          <w:sz w:val="36"/>
          <w:szCs w:val="36"/>
        </w:rPr>
      </w:pPr>
    </w:p>
    <w:p w14:paraId="18DFB214">
      <w:pPr>
        <w:spacing w:line="360" w:lineRule="auto"/>
        <w:jc w:val="center"/>
        <w:outlineLvl w:val="0"/>
        <w:rPr>
          <w:rFonts w:hint="eastAsia" w:ascii="宋体" w:hAnsi="宋体" w:eastAsia="宋体" w:cs="Times New Roman"/>
          <w:b/>
          <w:sz w:val="36"/>
          <w:szCs w:val="36"/>
        </w:rPr>
      </w:pPr>
    </w:p>
    <w:p w14:paraId="58245871">
      <w:pPr>
        <w:spacing w:line="360" w:lineRule="auto"/>
        <w:jc w:val="center"/>
        <w:outlineLvl w:val="0"/>
        <w:rPr>
          <w:rFonts w:hint="eastAsia" w:ascii="宋体" w:hAnsi="宋体" w:eastAsia="宋体" w:cs="Times New Roman"/>
          <w:b/>
          <w:sz w:val="36"/>
          <w:szCs w:val="36"/>
        </w:rPr>
      </w:pPr>
    </w:p>
    <w:p w14:paraId="5F11AA89">
      <w:pPr>
        <w:spacing w:line="360" w:lineRule="auto"/>
        <w:jc w:val="center"/>
        <w:outlineLvl w:val="0"/>
        <w:rPr>
          <w:rFonts w:hint="eastAsia" w:ascii="宋体" w:hAnsi="宋体" w:eastAsia="宋体" w:cs="Times New Roman"/>
          <w:b/>
          <w:sz w:val="36"/>
          <w:szCs w:val="36"/>
        </w:rPr>
      </w:pPr>
    </w:p>
    <w:p w14:paraId="22979340">
      <w:pPr>
        <w:spacing w:line="360" w:lineRule="auto"/>
        <w:jc w:val="center"/>
        <w:outlineLvl w:val="0"/>
        <w:rPr>
          <w:rFonts w:hint="eastAsia" w:ascii="宋体" w:hAnsi="宋体" w:eastAsia="宋体" w:cs="Times New Roman"/>
          <w:b/>
          <w:sz w:val="36"/>
          <w:szCs w:val="36"/>
        </w:rPr>
      </w:pPr>
    </w:p>
    <w:p w14:paraId="4369697F">
      <w:pPr>
        <w:spacing w:line="360" w:lineRule="auto"/>
        <w:jc w:val="center"/>
        <w:outlineLvl w:val="0"/>
        <w:rPr>
          <w:rFonts w:hint="eastAsia" w:ascii="宋体" w:hAnsi="宋体" w:eastAsia="宋体" w:cs="Times New Roman"/>
          <w:b/>
          <w:sz w:val="36"/>
          <w:szCs w:val="36"/>
        </w:rPr>
      </w:pPr>
    </w:p>
    <w:p w14:paraId="7B57C528">
      <w:pPr>
        <w:spacing w:line="360" w:lineRule="auto"/>
        <w:jc w:val="center"/>
        <w:outlineLvl w:val="0"/>
        <w:rPr>
          <w:rFonts w:hint="eastAsia" w:ascii="宋体" w:hAnsi="宋体" w:eastAsia="宋体" w:cs="Times New Roman"/>
          <w:b/>
          <w:sz w:val="36"/>
          <w:szCs w:val="36"/>
        </w:rPr>
      </w:pPr>
    </w:p>
    <w:p w14:paraId="22775D3E">
      <w:pPr>
        <w:spacing w:line="360" w:lineRule="auto"/>
        <w:jc w:val="center"/>
        <w:outlineLvl w:val="0"/>
        <w:rPr>
          <w:rFonts w:hint="eastAsia" w:ascii="宋体" w:hAnsi="宋体" w:eastAsia="宋体" w:cs="Times New Roman"/>
          <w:b/>
          <w:sz w:val="36"/>
          <w:szCs w:val="36"/>
        </w:rPr>
      </w:pPr>
    </w:p>
    <w:p w14:paraId="2A2B0AB8">
      <w:pPr>
        <w:spacing w:line="360" w:lineRule="auto"/>
        <w:jc w:val="both"/>
        <w:outlineLvl w:val="0"/>
        <w:rPr>
          <w:rFonts w:hint="eastAsia" w:ascii="宋体" w:hAnsi="宋体" w:eastAsia="宋体" w:cs="Times New Roman"/>
          <w:b/>
          <w:sz w:val="36"/>
          <w:szCs w:val="36"/>
        </w:rPr>
      </w:pPr>
    </w:p>
    <w:p w14:paraId="44A9EC39">
      <w:pPr>
        <w:spacing w:line="360" w:lineRule="auto"/>
        <w:jc w:val="both"/>
        <w:outlineLvl w:val="0"/>
        <w:rPr>
          <w:rFonts w:hint="eastAsia" w:ascii="宋体" w:hAnsi="宋体" w:eastAsia="宋体" w:cs="Times New Roman"/>
          <w:b/>
          <w:sz w:val="36"/>
          <w:szCs w:val="36"/>
        </w:rPr>
      </w:pPr>
    </w:p>
    <w:p w14:paraId="37C11464">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14:paraId="69CCE19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39E272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AF98D73">
      <w:pPr>
        <w:adjustRightInd w:val="0"/>
        <w:snapToGrid w:val="0"/>
        <w:spacing w:line="360" w:lineRule="auto"/>
        <w:jc w:val="left"/>
        <w:rPr>
          <w:rFonts w:ascii="宋体" w:hAnsi="宋体"/>
          <w:sz w:val="20"/>
          <w:szCs w:val="20"/>
        </w:rPr>
      </w:pPr>
    </w:p>
    <w:p w14:paraId="23D2C661">
      <w:pPr>
        <w:adjustRightInd w:val="0"/>
        <w:snapToGrid w:val="0"/>
        <w:spacing w:line="360" w:lineRule="auto"/>
        <w:jc w:val="left"/>
        <w:rPr>
          <w:rFonts w:ascii="宋体" w:hAnsi="宋体"/>
          <w:sz w:val="20"/>
          <w:szCs w:val="20"/>
        </w:rPr>
      </w:pPr>
    </w:p>
    <w:p w14:paraId="1876BF79">
      <w:pPr>
        <w:adjustRightInd w:val="0"/>
        <w:snapToGrid w:val="0"/>
        <w:spacing w:line="360" w:lineRule="auto"/>
        <w:jc w:val="left"/>
        <w:rPr>
          <w:rFonts w:ascii="宋体" w:hAnsi="宋体"/>
          <w:sz w:val="20"/>
          <w:szCs w:val="20"/>
        </w:rPr>
      </w:pPr>
    </w:p>
    <w:p w14:paraId="4CF8EEE5">
      <w:pPr>
        <w:adjustRightInd w:val="0"/>
        <w:snapToGrid w:val="0"/>
        <w:spacing w:line="360" w:lineRule="auto"/>
        <w:jc w:val="left"/>
        <w:rPr>
          <w:rFonts w:ascii="宋体" w:hAnsi="宋体"/>
          <w:sz w:val="20"/>
          <w:szCs w:val="20"/>
        </w:rPr>
      </w:pPr>
    </w:p>
    <w:p w14:paraId="2E1C40C2">
      <w:pPr>
        <w:adjustRightInd w:val="0"/>
        <w:snapToGrid w:val="0"/>
        <w:spacing w:line="360" w:lineRule="auto"/>
        <w:jc w:val="center"/>
        <w:rPr>
          <w:rFonts w:ascii="方正小标宋简体" w:hAnsi="宋体" w:eastAsia="方正小标宋简体"/>
          <w:bCs/>
          <w:sz w:val="52"/>
          <w:szCs w:val="36"/>
        </w:rPr>
      </w:pPr>
    </w:p>
    <w:p w14:paraId="5B9AEC25">
      <w:pPr>
        <w:adjustRightInd w:val="0"/>
        <w:snapToGrid w:val="0"/>
        <w:spacing w:line="360" w:lineRule="auto"/>
        <w:jc w:val="center"/>
        <w:rPr>
          <w:rFonts w:ascii="方正小标宋简体" w:hAnsi="宋体" w:eastAsia="方正小标宋简体"/>
          <w:bCs/>
          <w:sz w:val="52"/>
          <w:szCs w:val="36"/>
        </w:rPr>
      </w:pPr>
    </w:p>
    <w:p w14:paraId="7487A5A9">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3D9CFE1">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52E4211A">
      <w:pPr>
        <w:adjustRightInd w:val="0"/>
        <w:snapToGrid w:val="0"/>
        <w:spacing w:line="360" w:lineRule="auto"/>
        <w:jc w:val="left"/>
        <w:rPr>
          <w:rFonts w:ascii="宋体" w:hAnsi="宋体"/>
          <w:b/>
          <w:sz w:val="36"/>
          <w:szCs w:val="36"/>
        </w:rPr>
      </w:pPr>
    </w:p>
    <w:p w14:paraId="0264C39F">
      <w:pPr>
        <w:adjustRightInd w:val="0"/>
        <w:snapToGrid w:val="0"/>
        <w:spacing w:line="360" w:lineRule="auto"/>
        <w:jc w:val="left"/>
        <w:rPr>
          <w:rFonts w:ascii="宋体" w:hAnsi="宋体"/>
          <w:b/>
          <w:sz w:val="36"/>
          <w:szCs w:val="36"/>
        </w:rPr>
      </w:pPr>
    </w:p>
    <w:p w14:paraId="312C5E8B">
      <w:pPr>
        <w:adjustRightInd w:val="0"/>
        <w:snapToGrid w:val="0"/>
        <w:spacing w:line="360" w:lineRule="auto"/>
        <w:jc w:val="left"/>
        <w:rPr>
          <w:rFonts w:ascii="宋体" w:hAnsi="宋体"/>
          <w:b/>
          <w:sz w:val="36"/>
          <w:szCs w:val="36"/>
        </w:rPr>
      </w:pPr>
    </w:p>
    <w:p w14:paraId="04C578B8">
      <w:pPr>
        <w:adjustRightInd w:val="0"/>
        <w:snapToGrid w:val="0"/>
        <w:spacing w:line="360" w:lineRule="auto"/>
        <w:jc w:val="left"/>
        <w:rPr>
          <w:rFonts w:ascii="宋体" w:hAnsi="宋体"/>
          <w:b/>
          <w:sz w:val="36"/>
          <w:szCs w:val="36"/>
        </w:rPr>
      </w:pPr>
    </w:p>
    <w:p w14:paraId="6AAA2B64">
      <w:pPr>
        <w:adjustRightInd w:val="0"/>
        <w:snapToGrid w:val="0"/>
        <w:spacing w:line="360" w:lineRule="auto"/>
        <w:jc w:val="left"/>
        <w:rPr>
          <w:rFonts w:ascii="宋体" w:hAnsi="宋体"/>
          <w:b/>
          <w:sz w:val="36"/>
          <w:szCs w:val="36"/>
        </w:rPr>
      </w:pPr>
    </w:p>
    <w:p w14:paraId="1D0402E0">
      <w:pPr>
        <w:adjustRightInd w:val="0"/>
        <w:snapToGrid w:val="0"/>
        <w:spacing w:line="360" w:lineRule="auto"/>
        <w:jc w:val="left"/>
        <w:rPr>
          <w:rFonts w:ascii="宋体" w:hAnsi="宋体"/>
          <w:b/>
          <w:sz w:val="36"/>
          <w:szCs w:val="36"/>
        </w:rPr>
      </w:pPr>
    </w:p>
    <w:p w14:paraId="280CE7E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542BAA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D42CA3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9CA8F38">
      <w:pPr>
        <w:spacing w:line="360" w:lineRule="auto"/>
        <w:ind w:right="480"/>
        <w:rPr>
          <w:rFonts w:ascii="宋体" w:hAnsi="宋体" w:cs="宋体"/>
          <w:bCs/>
          <w:sz w:val="24"/>
          <w:u w:val="single"/>
        </w:rPr>
      </w:pPr>
      <w:r>
        <w:rPr>
          <w:rFonts w:hint="eastAsia" w:ascii="宋体" w:hAnsi="宋体" w:cs="宋体"/>
          <w:bCs/>
          <w:sz w:val="24"/>
        </w:rPr>
        <w:t xml:space="preserve">                                       </w:t>
      </w:r>
    </w:p>
    <w:p w14:paraId="54F561CB">
      <w:pPr>
        <w:spacing w:line="360" w:lineRule="auto"/>
        <w:rPr>
          <w:rFonts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2CBE992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86"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F5CF7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5DBF36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2F6F4">
      <w:pPr>
        <w:spacing w:line="360" w:lineRule="auto"/>
        <w:ind w:right="-189" w:rightChars="-90"/>
        <w:jc w:val="left"/>
        <w:rPr>
          <w:rFonts w:ascii="仿宋_GB2312" w:hAnsi="宋体" w:eastAsia="仿宋_GB2312" w:cs="宋体"/>
          <w:b/>
          <w:bCs/>
          <w:sz w:val="24"/>
          <w:szCs w:val="24"/>
          <w:u w:val="single"/>
        </w:rPr>
      </w:pPr>
    </w:p>
    <w:p w14:paraId="4488A4C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BAA5AF7">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8F36CD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17619"/>
      <w:bookmarkStart w:id="88" w:name="_Toc11823"/>
      <w:bookmarkStart w:id="89" w:name="_Toc11930"/>
      <w:bookmarkStart w:id="90" w:name="_Toc16330018"/>
      <w:r>
        <w:rPr>
          <w:rFonts w:hint="eastAsia" w:ascii="黑体" w:hAnsi="黑体" w:eastAsia="黑体" w:cstheme="minorEastAsia"/>
          <w:b w:val="0"/>
          <w:sz w:val="28"/>
          <w:szCs w:val="28"/>
        </w:rPr>
        <w:t>1 合同设备</w:t>
      </w:r>
      <w:bookmarkEnd w:id="87"/>
      <w:bookmarkEnd w:id="88"/>
      <w:bookmarkEnd w:id="89"/>
      <w:bookmarkEnd w:id="90"/>
    </w:p>
    <w:p w14:paraId="1285B1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06BD4A0">
      <w:pPr>
        <w:spacing w:line="360" w:lineRule="auto"/>
        <w:ind w:firstLine="453" w:firstLineChars="189"/>
        <w:rPr>
          <w:rFonts w:ascii="仿宋_GB2312" w:eastAsia="仿宋_GB2312" w:hAnsiTheme="minorEastAsia" w:cstheme="minorEastAsia"/>
          <w:sz w:val="24"/>
          <w:szCs w:val="24"/>
        </w:rPr>
      </w:pPr>
      <w:bookmarkStart w:id="91" w:name="_Toc22800"/>
      <w:bookmarkStart w:id="92" w:name="_Toc29026"/>
      <w:bookmarkStart w:id="93" w:name="_Toc32510"/>
      <w:r>
        <w:rPr>
          <w:rFonts w:hint="eastAsia" w:ascii="仿宋_GB2312" w:eastAsia="仿宋_GB2312" w:hAnsiTheme="minorEastAsia" w:cstheme="minorEastAsia"/>
          <w:sz w:val="24"/>
          <w:szCs w:val="24"/>
        </w:rPr>
        <w:t>1.2技术规格和标准</w:t>
      </w:r>
    </w:p>
    <w:p w14:paraId="258CBC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7BF4F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15743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25380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16330019"/>
      <w:r>
        <w:rPr>
          <w:rFonts w:hint="eastAsia" w:ascii="黑体" w:hAnsi="黑体" w:eastAsia="黑体" w:cstheme="minorEastAsia"/>
          <w:b w:val="0"/>
          <w:sz w:val="28"/>
          <w:szCs w:val="28"/>
        </w:rPr>
        <w:t>2 包装</w:t>
      </w:r>
      <w:bookmarkEnd w:id="91"/>
      <w:bookmarkEnd w:id="92"/>
      <w:bookmarkEnd w:id="93"/>
      <w:bookmarkEnd w:id="94"/>
    </w:p>
    <w:p w14:paraId="5173D7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001B0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57D472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16330020"/>
      <w:bookmarkStart w:id="96" w:name="_Toc27453"/>
      <w:bookmarkStart w:id="97" w:name="_Toc27144"/>
      <w:bookmarkStart w:id="98" w:name="_Toc2833"/>
      <w:r>
        <w:rPr>
          <w:rFonts w:hint="eastAsia" w:ascii="黑体" w:hAnsi="黑体" w:eastAsia="黑体" w:cstheme="minorEastAsia"/>
          <w:b w:val="0"/>
          <w:sz w:val="28"/>
          <w:szCs w:val="28"/>
        </w:rPr>
        <w:t>3 运输标记</w:t>
      </w:r>
      <w:bookmarkEnd w:id="95"/>
      <w:bookmarkEnd w:id="96"/>
      <w:bookmarkEnd w:id="97"/>
      <w:bookmarkEnd w:id="98"/>
    </w:p>
    <w:p w14:paraId="58DF1E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6B27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133F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0D5D7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67DFC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3BEB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6FA3B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F78B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96CBA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7431"/>
      <w:bookmarkStart w:id="100" w:name="_Toc10630"/>
      <w:bookmarkStart w:id="101" w:name="_Toc16330021"/>
      <w:bookmarkStart w:id="102" w:name="_Toc16133"/>
      <w:r>
        <w:rPr>
          <w:rFonts w:hint="eastAsia" w:ascii="黑体" w:hAnsi="黑体" w:eastAsia="黑体" w:cstheme="minorEastAsia"/>
          <w:b w:val="0"/>
          <w:sz w:val="28"/>
          <w:szCs w:val="28"/>
        </w:rPr>
        <w:t>4 检验</w:t>
      </w:r>
      <w:bookmarkEnd w:id="99"/>
      <w:bookmarkEnd w:id="100"/>
      <w:bookmarkEnd w:id="101"/>
      <w:bookmarkEnd w:id="102"/>
    </w:p>
    <w:p w14:paraId="5BD6BB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2542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EF482C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19850"/>
      <w:bookmarkStart w:id="104" w:name="_Toc11217"/>
      <w:bookmarkStart w:id="105" w:name="_Toc24467"/>
      <w:bookmarkStart w:id="106" w:name="_Toc16330022"/>
      <w:r>
        <w:rPr>
          <w:rFonts w:hint="eastAsia" w:ascii="黑体" w:hAnsi="黑体" w:eastAsia="黑体" w:cstheme="minorEastAsia"/>
          <w:b w:val="0"/>
          <w:sz w:val="28"/>
          <w:szCs w:val="28"/>
        </w:rPr>
        <w:t>5 权利担保</w:t>
      </w:r>
      <w:bookmarkEnd w:id="103"/>
      <w:bookmarkEnd w:id="104"/>
      <w:bookmarkEnd w:id="105"/>
      <w:bookmarkEnd w:id="106"/>
    </w:p>
    <w:p w14:paraId="111EAC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5A65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E657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6DD0D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1973F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23DDF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11759"/>
      <w:bookmarkStart w:id="108" w:name="_Toc16330023"/>
      <w:bookmarkStart w:id="109" w:name="_Toc27500"/>
      <w:bookmarkStart w:id="110" w:name="_Toc14809"/>
      <w:r>
        <w:rPr>
          <w:rFonts w:hint="eastAsia" w:ascii="黑体" w:hAnsi="黑体" w:eastAsia="黑体" w:cstheme="minorEastAsia"/>
          <w:b w:val="0"/>
          <w:sz w:val="28"/>
          <w:szCs w:val="28"/>
        </w:rPr>
        <w:t>6 交货</w:t>
      </w:r>
      <w:bookmarkEnd w:id="107"/>
      <w:bookmarkEnd w:id="108"/>
      <w:bookmarkEnd w:id="109"/>
      <w:bookmarkEnd w:id="110"/>
    </w:p>
    <w:p w14:paraId="346408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02D6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D3A0B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99348E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FF8DE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AF1C2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3928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ADEE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1661A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E47F5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0AEA2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C8F3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E4352C2">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732E87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2984"/>
      <w:bookmarkStart w:id="112" w:name="_Toc25510"/>
      <w:bookmarkStart w:id="113" w:name="_Toc16330024"/>
      <w:bookmarkStart w:id="114" w:name="_Toc8024"/>
      <w:r>
        <w:rPr>
          <w:rFonts w:hint="eastAsia" w:ascii="黑体" w:hAnsi="黑体" w:eastAsia="黑体" w:cstheme="minorEastAsia"/>
          <w:b w:val="0"/>
          <w:sz w:val="28"/>
          <w:szCs w:val="28"/>
        </w:rPr>
        <w:t>7 安装、调试</w:t>
      </w:r>
      <w:bookmarkEnd w:id="111"/>
      <w:bookmarkEnd w:id="112"/>
      <w:bookmarkEnd w:id="113"/>
      <w:bookmarkEnd w:id="114"/>
    </w:p>
    <w:p w14:paraId="5C90C264">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813DE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2DF96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1A760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C4D324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FF28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5" w:name="_Toc6350"/>
      <w:bookmarkStart w:id="116" w:name="_Toc14260"/>
      <w:bookmarkStart w:id="117" w:name="_Toc14098"/>
      <w:bookmarkStart w:id="118" w:name="_Toc16330025"/>
      <w:r>
        <w:rPr>
          <w:rFonts w:hint="eastAsia" w:ascii="黑体" w:hAnsi="黑体" w:eastAsia="黑体" w:cstheme="minorEastAsia"/>
          <w:b w:val="0"/>
          <w:sz w:val="28"/>
          <w:szCs w:val="28"/>
        </w:rPr>
        <w:t>8 价款与支付</w:t>
      </w:r>
      <w:bookmarkEnd w:id="115"/>
      <w:bookmarkEnd w:id="116"/>
      <w:bookmarkEnd w:id="117"/>
      <w:bookmarkEnd w:id="118"/>
    </w:p>
    <w:p w14:paraId="730FE2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C9424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8D4A3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3F74D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B4EF79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248E57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B4F50E">
      <w:pPr>
        <w:spacing w:line="360" w:lineRule="auto"/>
        <w:ind w:firstLine="453" w:firstLineChars="189"/>
        <w:rPr>
          <w:rFonts w:ascii="仿宋_GB2312" w:hAnsi="黑体" w:eastAsia="仿宋_GB2312" w:cstheme="minorEastAsia"/>
          <w:i/>
          <w:sz w:val="24"/>
          <w:szCs w:val="24"/>
        </w:rPr>
      </w:pPr>
      <w:bookmarkStart w:id="119" w:name="_Toc14531628"/>
      <w:bookmarkStart w:id="120"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19"/>
      <w:bookmarkEnd w:id="120"/>
    </w:p>
    <w:p w14:paraId="1BADBF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1" w:name="_Toc16330026"/>
      <w:bookmarkStart w:id="122" w:name="_Toc6726"/>
      <w:bookmarkStart w:id="123" w:name="_Toc24085"/>
      <w:bookmarkStart w:id="124" w:name="_Toc25708"/>
      <w:r>
        <w:rPr>
          <w:rFonts w:hint="eastAsia" w:ascii="黑体" w:hAnsi="黑体" w:eastAsia="黑体" w:cstheme="minorEastAsia"/>
          <w:b w:val="0"/>
          <w:sz w:val="28"/>
          <w:szCs w:val="28"/>
        </w:rPr>
        <w:t>9 质量保证及售后服务</w:t>
      </w:r>
      <w:bookmarkEnd w:id="121"/>
      <w:bookmarkEnd w:id="122"/>
      <w:bookmarkEnd w:id="123"/>
      <w:bookmarkEnd w:id="124"/>
    </w:p>
    <w:p w14:paraId="3B8B94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FFFC2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3A0F4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C07E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EE306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834E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7D3FA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4366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AAE2BF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5" w:name="_Toc10359"/>
      <w:bookmarkStart w:id="126" w:name="_Toc12927"/>
      <w:bookmarkStart w:id="127" w:name="_Toc16330027"/>
      <w:bookmarkStart w:id="128" w:name="_Toc15570"/>
      <w:r>
        <w:rPr>
          <w:rFonts w:hint="eastAsia" w:ascii="黑体" w:hAnsi="黑体" w:eastAsia="黑体" w:cstheme="minorEastAsia"/>
          <w:b w:val="0"/>
          <w:sz w:val="28"/>
          <w:szCs w:val="28"/>
        </w:rPr>
        <w:t>10法定责任</w:t>
      </w:r>
      <w:bookmarkEnd w:id="125"/>
      <w:bookmarkEnd w:id="126"/>
      <w:bookmarkEnd w:id="127"/>
      <w:bookmarkEnd w:id="128"/>
    </w:p>
    <w:p w14:paraId="55568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F73C8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D589D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9336D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86B10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9" w:name="_Toc16330028"/>
      <w:bookmarkStart w:id="130" w:name="_Toc30381"/>
      <w:bookmarkStart w:id="131" w:name="_Toc27314"/>
      <w:bookmarkStart w:id="132" w:name="_Toc9708"/>
      <w:r>
        <w:rPr>
          <w:rFonts w:hint="eastAsia" w:ascii="黑体" w:hAnsi="黑体" w:eastAsia="黑体" w:cstheme="minorEastAsia"/>
          <w:b w:val="0"/>
          <w:sz w:val="28"/>
          <w:szCs w:val="28"/>
        </w:rPr>
        <w:t>11 违约责任</w:t>
      </w:r>
      <w:bookmarkEnd w:id="129"/>
      <w:bookmarkEnd w:id="130"/>
      <w:bookmarkEnd w:id="131"/>
      <w:bookmarkEnd w:id="132"/>
    </w:p>
    <w:p w14:paraId="79DA5B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6E856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EAC2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A964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B922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5DB73E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8DCCD4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1A4C83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91CEF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6F8AD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3AB84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9EC1A5E">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3" w:name="_Toc9172"/>
      <w:bookmarkStart w:id="134" w:name="_Toc31554"/>
      <w:bookmarkStart w:id="135" w:name="_Toc1827"/>
      <w:bookmarkStart w:id="136" w:name="_Toc16330029"/>
      <w:r>
        <w:rPr>
          <w:rFonts w:hint="eastAsia" w:ascii="黑体" w:hAnsi="黑体" w:eastAsia="黑体" w:cstheme="minorEastAsia"/>
          <w:b w:val="0"/>
          <w:sz w:val="28"/>
          <w:szCs w:val="28"/>
        </w:rPr>
        <w:t>12 合同的终止与解除</w:t>
      </w:r>
      <w:bookmarkEnd w:id="133"/>
      <w:bookmarkEnd w:id="134"/>
      <w:bookmarkEnd w:id="135"/>
      <w:bookmarkEnd w:id="136"/>
    </w:p>
    <w:p w14:paraId="516D5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A7D049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09DCF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937C88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E5CAA24">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11ECA2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4476F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3043D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5970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460BA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FA48A9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28BA75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7" w:name="_Toc13671"/>
      <w:bookmarkStart w:id="138" w:name="_Toc16330030"/>
      <w:bookmarkStart w:id="139" w:name="_Toc31945"/>
      <w:bookmarkStart w:id="140" w:name="_Toc8620"/>
      <w:r>
        <w:rPr>
          <w:rFonts w:hint="eastAsia" w:ascii="黑体" w:hAnsi="黑体" w:eastAsia="黑体" w:cstheme="minorEastAsia"/>
          <w:b w:val="0"/>
          <w:sz w:val="28"/>
          <w:szCs w:val="28"/>
        </w:rPr>
        <w:t>13 不可抗力</w:t>
      </w:r>
      <w:bookmarkEnd w:id="137"/>
      <w:bookmarkEnd w:id="138"/>
      <w:bookmarkEnd w:id="139"/>
      <w:bookmarkEnd w:id="140"/>
    </w:p>
    <w:p w14:paraId="6BC854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B147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B31F04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1" w:name="_Toc637"/>
      <w:bookmarkStart w:id="142" w:name="_Toc31243"/>
      <w:bookmarkStart w:id="143" w:name="_Toc16330031"/>
      <w:bookmarkStart w:id="144" w:name="_Toc30389"/>
      <w:r>
        <w:rPr>
          <w:rFonts w:hint="eastAsia" w:ascii="黑体" w:hAnsi="黑体" w:eastAsia="黑体" w:cstheme="minorEastAsia"/>
          <w:b w:val="0"/>
          <w:sz w:val="28"/>
          <w:szCs w:val="28"/>
        </w:rPr>
        <w:t>14 通讯</w:t>
      </w:r>
      <w:bookmarkEnd w:id="141"/>
      <w:bookmarkEnd w:id="142"/>
      <w:bookmarkEnd w:id="143"/>
      <w:bookmarkEnd w:id="144"/>
    </w:p>
    <w:p w14:paraId="31ACE2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8171B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789B8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14B8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C617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8F9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3AD38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CD594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AFFBF1C">
      <w:pPr>
        <w:pStyle w:val="4"/>
        <w:tabs>
          <w:tab w:val="right" w:leader="dot" w:pos="9061"/>
        </w:tabs>
        <w:spacing w:before="240" w:beforeLines="100"/>
        <w:jc w:val="both"/>
        <w:rPr>
          <w:rFonts w:ascii="黑体" w:hAnsi="黑体" w:eastAsia="黑体" w:cstheme="minorEastAsia"/>
          <w:b w:val="0"/>
          <w:sz w:val="28"/>
          <w:szCs w:val="28"/>
        </w:rPr>
      </w:pPr>
      <w:bookmarkStart w:id="145" w:name="_Toc9915"/>
      <w:bookmarkStart w:id="146" w:name="_Toc11290"/>
      <w:bookmarkStart w:id="147" w:name="_Toc12984"/>
      <w:bookmarkStart w:id="148" w:name="_Toc16330032"/>
      <w:r>
        <w:rPr>
          <w:rFonts w:hint="eastAsia" w:ascii="黑体" w:hAnsi="黑体" w:eastAsia="黑体" w:cstheme="minorEastAsia"/>
          <w:b w:val="0"/>
          <w:sz w:val="28"/>
          <w:szCs w:val="28"/>
        </w:rPr>
        <w:t>15 适用法律及争议解决</w:t>
      </w:r>
      <w:bookmarkEnd w:id="145"/>
      <w:bookmarkEnd w:id="146"/>
      <w:bookmarkEnd w:id="147"/>
      <w:bookmarkEnd w:id="148"/>
    </w:p>
    <w:p w14:paraId="1D07DA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52FA0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123CA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9" w:name="_Toc18207"/>
      <w:bookmarkStart w:id="150" w:name="_Toc23906"/>
      <w:bookmarkStart w:id="151" w:name="_Toc16330033"/>
      <w:bookmarkStart w:id="152" w:name="_Toc23765"/>
      <w:r>
        <w:rPr>
          <w:rFonts w:hint="eastAsia" w:ascii="黑体" w:hAnsi="黑体" w:eastAsia="黑体" w:cstheme="minorEastAsia"/>
          <w:b w:val="0"/>
          <w:sz w:val="28"/>
          <w:szCs w:val="28"/>
        </w:rPr>
        <w:t>16 附件</w:t>
      </w:r>
      <w:bookmarkEnd w:id="149"/>
      <w:bookmarkEnd w:id="150"/>
      <w:bookmarkEnd w:id="151"/>
      <w:bookmarkEnd w:id="152"/>
    </w:p>
    <w:p w14:paraId="316C6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44E27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75D9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31583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E554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4F008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EB3A84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3" w:name="_Toc27202"/>
      <w:bookmarkStart w:id="154" w:name="_Toc17656"/>
      <w:bookmarkStart w:id="155" w:name="_Toc31331"/>
      <w:bookmarkStart w:id="156" w:name="_Toc16330034"/>
      <w:r>
        <w:rPr>
          <w:rFonts w:hint="eastAsia" w:ascii="黑体" w:hAnsi="黑体" w:eastAsia="黑体" w:cstheme="minorEastAsia"/>
          <w:b w:val="0"/>
          <w:sz w:val="28"/>
          <w:szCs w:val="28"/>
        </w:rPr>
        <w:t>17 其他规定</w:t>
      </w:r>
      <w:bookmarkEnd w:id="153"/>
      <w:bookmarkEnd w:id="154"/>
      <w:bookmarkEnd w:id="155"/>
      <w:bookmarkEnd w:id="156"/>
    </w:p>
    <w:p w14:paraId="7460F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32F0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C1E8D2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F2BE669">
      <w:pPr>
        <w:spacing w:line="360" w:lineRule="auto"/>
        <w:ind w:firstLine="453" w:firstLineChars="189"/>
        <w:rPr>
          <w:rFonts w:ascii="仿宋_GB2312" w:eastAsia="仿宋_GB2312" w:hAnsiTheme="minorEastAsia" w:cstheme="minorEastAsia"/>
          <w:sz w:val="24"/>
          <w:szCs w:val="24"/>
        </w:rPr>
      </w:pPr>
      <w:bookmarkStart w:id="157" w:name="_Toc29136"/>
      <w:bookmarkStart w:id="158" w:name="_Toc19077"/>
      <w:bookmarkStart w:id="159" w:name="_Toc17952"/>
      <w:bookmarkStart w:id="160"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3C9C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CD54C6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57"/>
      <w:bookmarkEnd w:id="158"/>
      <w:bookmarkEnd w:id="159"/>
      <w:bookmarkEnd w:id="160"/>
    </w:p>
    <w:p w14:paraId="635A56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37CEE9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3BB0FA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D222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60A0B3B">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FBFB38A">
      <w:pPr>
        <w:spacing w:line="360" w:lineRule="auto"/>
        <w:rPr>
          <w:rFonts w:ascii="宋体" w:hAnsi="宋体"/>
          <w:snapToGrid w:val="0"/>
          <w:kern w:val="0"/>
          <w:sz w:val="20"/>
          <w:szCs w:val="20"/>
          <w:lang w:eastAsia="zh-Hans"/>
        </w:rPr>
      </w:pPr>
    </w:p>
    <w:p w14:paraId="3125719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5D6251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3DCAE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61364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A22AE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13F1F9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1088C5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7618D9F">
      <w:pPr>
        <w:spacing w:line="360" w:lineRule="auto"/>
        <w:rPr>
          <w:rFonts w:ascii="仿宋_GB2312" w:eastAsia="仿宋_GB2312"/>
          <w:sz w:val="24"/>
          <w:szCs w:val="24"/>
        </w:rPr>
      </w:pPr>
    </w:p>
    <w:p w14:paraId="6C691543">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03731D7"/>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C52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A162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8D52E4D">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4363B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C9C30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D4CF38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DD2754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9E48EC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3F16CF1">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9E0C6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6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10C8FFF">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24E68FC">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76573B">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6D075F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AE8E01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21FE4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7E020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74C17C">
            <w:pPr>
              <w:pStyle w:val="26"/>
              <w:spacing w:line="360" w:lineRule="auto"/>
              <w:ind w:left="480" w:hanging="480"/>
              <w:jc w:val="center"/>
              <w:rPr>
                <w:rFonts w:ascii="仿宋_GB2312" w:eastAsia="仿宋_GB2312" w:hAnsiTheme="minorEastAsia" w:cstheme="minorEastAsia"/>
                <w:sz w:val="24"/>
                <w:szCs w:val="24"/>
              </w:rPr>
            </w:pPr>
          </w:p>
        </w:tc>
      </w:tr>
      <w:tr w14:paraId="35C8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D1954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0CBE3C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F0D836">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AB55BDC">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788EFF2">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5E02E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804A4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8A31C20">
            <w:pPr>
              <w:pStyle w:val="26"/>
              <w:spacing w:line="360" w:lineRule="auto"/>
              <w:ind w:left="480" w:hanging="480"/>
              <w:jc w:val="center"/>
              <w:rPr>
                <w:rFonts w:ascii="仿宋_GB2312" w:eastAsia="仿宋_GB2312" w:hAnsiTheme="minorEastAsia" w:cstheme="minorEastAsia"/>
                <w:sz w:val="24"/>
                <w:szCs w:val="24"/>
              </w:rPr>
            </w:pPr>
          </w:p>
        </w:tc>
      </w:tr>
      <w:tr w14:paraId="7FE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DFA74D">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0E253B2">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3554F0">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86EDE14">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D3658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58310D7">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4E8B7F">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BBC2C46">
            <w:pPr>
              <w:pStyle w:val="26"/>
              <w:spacing w:line="360" w:lineRule="auto"/>
              <w:ind w:left="480" w:hanging="480"/>
              <w:jc w:val="center"/>
              <w:rPr>
                <w:rFonts w:ascii="仿宋_GB2312" w:eastAsia="仿宋_GB2312" w:hAnsiTheme="minorEastAsia" w:cstheme="minorEastAsia"/>
                <w:sz w:val="24"/>
                <w:szCs w:val="24"/>
              </w:rPr>
            </w:pPr>
          </w:p>
        </w:tc>
      </w:tr>
      <w:tr w14:paraId="63E8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D25B6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A1EF063">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0E7EA54">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6468B24">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D2D10A">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307D59">
            <w:pPr>
              <w:spacing w:line="360" w:lineRule="auto"/>
              <w:jc w:val="center"/>
              <w:rPr>
                <w:rFonts w:ascii="仿宋_GB2312" w:eastAsia="仿宋_GB2312" w:hAnsiTheme="minorEastAsia" w:cstheme="minorEastAsia"/>
                <w:sz w:val="24"/>
                <w:szCs w:val="24"/>
              </w:rPr>
            </w:pPr>
          </w:p>
        </w:tc>
        <w:tc>
          <w:tcPr>
            <w:tcW w:w="708" w:type="dxa"/>
            <w:vAlign w:val="center"/>
          </w:tcPr>
          <w:p w14:paraId="02C0481B">
            <w:pPr>
              <w:spacing w:line="360" w:lineRule="auto"/>
              <w:jc w:val="center"/>
              <w:rPr>
                <w:rFonts w:ascii="仿宋_GB2312" w:eastAsia="仿宋_GB2312" w:hAnsiTheme="minorEastAsia" w:cstheme="minorEastAsia"/>
                <w:sz w:val="24"/>
                <w:szCs w:val="24"/>
              </w:rPr>
            </w:pPr>
          </w:p>
        </w:tc>
        <w:tc>
          <w:tcPr>
            <w:tcW w:w="708" w:type="dxa"/>
            <w:vAlign w:val="center"/>
          </w:tcPr>
          <w:p w14:paraId="7FA82D4B">
            <w:pPr>
              <w:spacing w:line="360" w:lineRule="auto"/>
              <w:jc w:val="center"/>
              <w:rPr>
                <w:rFonts w:ascii="仿宋_GB2312" w:eastAsia="仿宋_GB2312" w:hAnsiTheme="minorEastAsia" w:cstheme="minorEastAsia"/>
                <w:sz w:val="24"/>
                <w:szCs w:val="24"/>
              </w:rPr>
            </w:pPr>
          </w:p>
        </w:tc>
      </w:tr>
    </w:tbl>
    <w:p w14:paraId="75E762D9">
      <w:pPr>
        <w:rPr>
          <w:rFonts w:hint="eastAsia" w:ascii="黑体" w:hAnsi="黑体" w:eastAsia="黑体" w:cstheme="minorEastAsia"/>
          <w:b w:val="0"/>
          <w:sz w:val="28"/>
          <w:szCs w:val="28"/>
        </w:rPr>
      </w:pPr>
      <w:bookmarkStart w:id="161" w:name="_Toc5379"/>
      <w:bookmarkStart w:id="162" w:name="_Toc16330037"/>
      <w:bookmarkStart w:id="163" w:name="_Toc24623"/>
      <w:bookmarkStart w:id="164" w:name="_Toc25120"/>
      <w:bookmarkStart w:id="165" w:name="_Toc3778"/>
    </w:p>
    <w:p w14:paraId="35719D29">
      <w:pPr>
        <w:rPr>
          <w:rFonts w:hint="eastAsia" w:ascii="黑体" w:hAnsi="黑体" w:eastAsia="黑体" w:cstheme="minorEastAsia"/>
          <w:b w:val="0"/>
          <w:sz w:val="28"/>
          <w:szCs w:val="28"/>
        </w:rPr>
      </w:pPr>
    </w:p>
    <w:p w14:paraId="495F9056">
      <w:pPr>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61"/>
      <w:bookmarkEnd w:id="162"/>
      <w:bookmarkEnd w:id="163"/>
      <w:bookmarkEnd w:id="164"/>
      <w:bookmarkEnd w:id="165"/>
      <w:r>
        <w:rPr>
          <w:rFonts w:hint="eastAsia" w:ascii="黑体" w:hAnsi="黑体" w:eastAsia="黑体" w:cstheme="minorEastAsia"/>
          <w:b w:val="0"/>
          <w:sz w:val="28"/>
          <w:szCs w:val="28"/>
        </w:rPr>
        <w:t>技术协议书</w:t>
      </w:r>
    </w:p>
    <w:p w14:paraId="2EF301AF">
      <w:pPr>
        <w:ind w:right="360"/>
        <w:rPr>
          <w:rFonts w:asciiTheme="minorEastAsia" w:hAnsiTheme="minorEastAsia" w:eastAsiaTheme="minorEastAsia" w:cstheme="minorEastAsia"/>
          <w:sz w:val="20"/>
          <w:szCs w:val="20"/>
        </w:rPr>
      </w:pPr>
    </w:p>
    <w:p w14:paraId="6F72BF43">
      <w:pPr>
        <w:jc w:val="right"/>
        <w:rPr>
          <w:rFonts w:asciiTheme="minorEastAsia" w:hAnsiTheme="minorEastAsia" w:eastAsiaTheme="minorEastAsia" w:cstheme="minorEastAsia"/>
          <w:sz w:val="20"/>
          <w:szCs w:val="20"/>
        </w:rPr>
      </w:pPr>
    </w:p>
    <w:p w14:paraId="7500F3AE">
      <w:pPr>
        <w:jc w:val="right"/>
        <w:rPr>
          <w:rFonts w:asciiTheme="minorEastAsia" w:hAnsiTheme="minorEastAsia" w:eastAsiaTheme="minorEastAsia" w:cstheme="minorEastAsia"/>
          <w:sz w:val="20"/>
          <w:szCs w:val="20"/>
        </w:rPr>
      </w:pPr>
    </w:p>
    <w:p w14:paraId="3AC67A6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DFEAEE5">
      <w:pPr>
        <w:jc w:val="right"/>
        <w:rPr>
          <w:rFonts w:asciiTheme="minorEastAsia" w:hAnsiTheme="minorEastAsia" w:eastAsiaTheme="minorEastAsia" w:cstheme="minorEastAsia"/>
          <w:sz w:val="20"/>
          <w:szCs w:val="20"/>
        </w:rPr>
      </w:pPr>
    </w:p>
    <w:p w14:paraId="40F20FEB">
      <w:pPr>
        <w:wordWrap w:val="0"/>
        <w:ind w:right="480"/>
        <w:rPr>
          <w:rFonts w:asciiTheme="minorEastAsia" w:hAnsiTheme="minorEastAsia" w:eastAsiaTheme="minorEastAsia" w:cstheme="minorEastAsia"/>
          <w:sz w:val="20"/>
          <w:szCs w:val="20"/>
        </w:rPr>
      </w:pPr>
    </w:p>
    <w:p w14:paraId="6287B505">
      <w:pPr>
        <w:jc w:val="right"/>
        <w:rPr>
          <w:rFonts w:ascii="楷体_GB2312" w:hAnsi="宋体" w:eastAsia="楷体_GB2312"/>
          <w:sz w:val="24"/>
        </w:rPr>
      </w:pPr>
      <w:bookmarkStart w:id="166" w:name="_Toc14341849"/>
    </w:p>
    <w:p w14:paraId="11E56A8A">
      <w:pPr>
        <w:ind w:right="480"/>
        <w:jc w:val="center"/>
        <w:rPr>
          <w:sz w:val="24"/>
          <w:szCs w:val="24"/>
        </w:rPr>
      </w:pPr>
      <w:r>
        <w:rPr>
          <w:rFonts w:hint="eastAsia" w:ascii="楷体_GB2312" w:hAnsi="宋体" w:eastAsia="楷体_GB2312"/>
          <w:sz w:val="24"/>
        </w:rPr>
        <w:t xml:space="preserve">                                    </w:t>
      </w:r>
    </w:p>
    <w:bookmarkEnd w:id="166"/>
    <w:p w14:paraId="0769557E">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13"/>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13"/>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13"/>
        <w:ind w:left="0" w:firstLine="0"/>
        <w:rPr>
          <w:rFonts w:ascii="楷体" w:hAnsi="楷体" w:eastAsia="楷体" w:cs="楷体"/>
          <w:b/>
          <w:sz w:val="24"/>
          <w:szCs w:val="28"/>
        </w:rPr>
      </w:pPr>
    </w:p>
    <w:p w14:paraId="628C201B">
      <w:pPr>
        <w:pStyle w:val="13"/>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13"/>
        <w:ind w:left="0" w:firstLine="0"/>
        <w:rPr>
          <w:rFonts w:ascii="楷体" w:hAnsi="楷体" w:eastAsia="楷体" w:cs="楷体"/>
          <w:b/>
          <w:sz w:val="24"/>
          <w:szCs w:val="28"/>
        </w:rPr>
      </w:pPr>
    </w:p>
    <w:p w14:paraId="17ADDBE5">
      <w:pPr>
        <w:pStyle w:val="13"/>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6EEFD907">
      <w:pPr>
        <w:keepNext/>
        <w:keepLines/>
        <w:jc w:val="center"/>
        <w:outlineLvl w:val="0"/>
        <w:rPr>
          <w:rFonts w:hint="eastAsia"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86"/>
    </w:p>
    <w:p w14:paraId="5E519D5E">
      <w:pPr>
        <w:keepNext/>
        <w:keepLines/>
        <w:outlineLvl w:val="9"/>
        <w:rPr>
          <w:rFonts w:hint="eastAsia" w:ascii="Times New Roman" w:hAnsi="Times New Roman" w:eastAsia="宋体" w:cs="Times New Roman"/>
          <w:b/>
          <w:bCs/>
          <w:color w:val="000000"/>
          <w:sz w:val="24"/>
          <w:szCs w:val="24"/>
        </w:rPr>
      </w:pPr>
    </w:p>
    <w:p w14:paraId="279EAE60">
      <w:pPr>
        <w:pStyle w:val="17"/>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3FD3E7E8">
      <w:pPr>
        <w:pStyle w:val="17"/>
        <w:rPr>
          <w:rFonts w:hint="eastAsia"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7" w:name="_Toc212369550"/>
      <w:bookmarkStart w:id="168" w:name="_Toc639004"/>
      <w:bookmarkStart w:id="169" w:name="_Toc353881012"/>
      <w:bookmarkStart w:id="17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7"/>
      <w:bookmarkEnd w:id="168"/>
      <w:bookmarkEnd w:id="169"/>
      <w:bookmarkEnd w:id="170"/>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高压油泵PTO总成自制项目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15CDF85">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 xml:space="preserve">联行号：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17"/>
        <w:rPr>
          <w:rFonts w:ascii="黑体" w:hAnsi="Calibri" w:eastAsia="黑体" w:cs="Times New Roman"/>
          <w:color w:val="000000"/>
          <w:sz w:val="24"/>
          <w:szCs w:val="24"/>
        </w:rPr>
      </w:pPr>
    </w:p>
    <w:p w14:paraId="713F887B">
      <w:pPr>
        <w:pStyle w:val="17"/>
        <w:rPr>
          <w:rFonts w:ascii="黑体" w:hAnsi="Calibri" w:eastAsia="黑体" w:cs="Times New Roman"/>
          <w:color w:val="000000"/>
          <w:sz w:val="24"/>
          <w:szCs w:val="24"/>
        </w:rPr>
      </w:pPr>
    </w:p>
    <w:p w14:paraId="112365BE">
      <w:pPr>
        <w:pStyle w:val="17"/>
        <w:rPr>
          <w:rFonts w:ascii="黑体" w:hAnsi="Calibri" w:eastAsia="黑体" w:cs="Times New Roman"/>
          <w:color w:val="000000"/>
          <w:sz w:val="24"/>
          <w:szCs w:val="24"/>
        </w:rPr>
      </w:pPr>
    </w:p>
    <w:p w14:paraId="68B3EA20">
      <w:pPr>
        <w:pStyle w:val="17"/>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高压油泵PTO总成自制项目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05BEF4D9">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30"/>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A9859A">
            <w:pPr>
              <w:pStyle w:val="130"/>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30"/>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30"/>
              <w:spacing w:before="111"/>
              <w:ind w:left="509"/>
              <w:rPr>
                <w:highlight w:val="yellow"/>
              </w:rPr>
            </w:pPr>
            <w:r>
              <w:t xml:space="preserve">企业法人代表  </w:t>
            </w:r>
          </w:p>
        </w:tc>
        <w:tc>
          <w:tcPr>
            <w:tcW w:w="4680" w:type="dxa"/>
            <w:gridSpan w:val="4"/>
          </w:tcPr>
          <w:p w14:paraId="67FAF3AF">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30"/>
              <w:spacing w:before="114"/>
              <w:ind w:left="720"/>
            </w:pPr>
            <w:r>
              <w:t xml:space="preserve">品牌区分 </w:t>
            </w:r>
          </w:p>
        </w:tc>
        <w:tc>
          <w:tcPr>
            <w:tcW w:w="7500" w:type="dxa"/>
            <w:gridSpan w:val="6"/>
          </w:tcPr>
          <w:p w14:paraId="5E46313C">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30"/>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30"/>
              <w:spacing w:before="15"/>
              <w:ind w:left="279"/>
            </w:pPr>
            <w:r>
              <w:rPr>
                <w:spacing w:val="-2"/>
              </w:rPr>
              <w:t>质量</w:t>
            </w:r>
            <w:r>
              <w:t xml:space="preserve"> </w:t>
            </w:r>
          </w:p>
          <w:p w14:paraId="6F42C53A">
            <w:pPr>
              <w:pStyle w:val="130"/>
              <w:spacing w:before="30" w:line="277" w:lineRule="exact"/>
              <w:ind w:left="279"/>
            </w:pPr>
            <w:r>
              <w:rPr>
                <w:rFonts w:hint="eastAsia"/>
              </w:rPr>
              <w:t>体系</w:t>
            </w:r>
          </w:p>
        </w:tc>
        <w:tc>
          <w:tcPr>
            <w:tcW w:w="2820" w:type="dxa"/>
            <w:gridSpan w:val="2"/>
          </w:tcPr>
          <w:p w14:paraId="2F5ACFCC">
            <w:pPr>
              <w:pStyle w:val="130"/>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30"/>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17"/>
        <w:rPr>
          <w:rFonts w:ascii="Times New Roman" w:hAnsi="Times New Roman" w:eastAsia="宋体" w:cs="Times New Roman"/>
          <w:b/>
          <w:bCs/>
          <w:color w:val="000000"/>
          <w:sz w:val="24"/>
          <w:szCs w:val="24"/>
        </w:rPr>
      </w:pPr>
    </w:p>
    <w:p w14:paraId="3929C070">
      <w:pPr>
        <w:pStyle w:val="17"/>
        <w:rPr>
          <w:rFonts w:ascii="Times New Roman" w:hAnsi="Times New Roman" w:eastAsia="宋体" w:cs="Times New Roman"/>
          <w:b/>
          <w:bCs/>
          <w:color w:val="000000"/>
          <w:sz w:val="24"/>
          <w:szCs w:val="24"/>
        </w:rPr>
      </w:pPr>
    </w:p>
    <w:p w14:paraId="47337A43">
      <w:pPr>
        <w:pStyle w:val="17"/>
        <w:rPr>
          <w:rFonts w:ascii="Times New Roman" w:hAnsi="Times New Roman" w:eastAsia="宋体" w:cs="Times New Roman"/>
          <w:b/>
          <w:bCs/>
          <w:color w:val="000000"/>
          <w:sz w:val="24"/>
          <w:szCs w:val="24"/>
        </w:rPr>
      </w:pPr>
    </w:p>
    <w:p w14:paraId="3426FB8F">
      <w:pPr>
        <w:pStyle w:val="17"/>
        <w:rPr>
          <w:rFonts w:ascii="Times New Roman" w:hAnsi="Times New Roman" w:eastAsia="宋体" w:cs="Times New Roman"/>
          <w:b/>
          <w:bCs/>
          <w:color w:val="000000"/>
          <w:sz w:val="24"/>
          <w:szCs w:val="24"/>
        </w:rPr>
      </w:pPr>
    </w:p>
    <w:p w14:paraId="1D2036A2">
      <w:pPr>
        <w:pStyle w:val="17"/>
        <w:rPr>
          <w:rFonts w:ascii="Times New Roman" w:hAnsi="Times New Roman" w:eastAsia="宋体" w:cs="Times New Roman"/>
          <w:b/>
          <w:bCs/>
          <w:color w:val="000000"/>
          <w:sz w:val="24"/>
          <w:szCs w:val="24"/>
        </w:rPr>
      </w:pPr>
    </w:p>
    <w:p w14:paraId="3FF6C249">
      <w:pPr>
        <w:pStyle w:val="17"/>
        <w:rPr>
          <w:rFonts w:ascii="Times New Roman" w:hAnsi="Times New Roman" w:eastAsia="宋体" w:cs="Times New Roman"/>
          <w:b/>
          <w:bCs/>
          <w:color w:val="000000"/>
          <w:sz w:val="24"/>
          <w:szCs w:val="24"/>
        </w:rPr>
      </w:pPr>
    </w:p>
    <w:p w14:paraId="6D8CD7B5">
      <w:pPr>
        <w:pStyle w:val="17"/>
        <w:rPr>
          <w:rFonts w:ascii="Times New Roman" w:hAnsi="Times New Roman" w:eastAsia="宋体" w:cs="Times New Roman"/>
          <w:b/>
          <w:bCs/>
          <w:color w:val="000000"/>
          <w:sz w:val="24"/>
          <w:szCs w:val="24"/>
        </w:rPr>
      </w:pPr>
    </w:p>
    <w:p w14:paraId="74461546">
      <w:pPr>
        <w:pStyle w:val="17"/>
        <w:rPr>
          <w:rFonts w:ascii="Times New Roman" w:hAnsi="Times New Roman" w:eastAsia="宋体" w:cs="Times New Roman"/>
          <w:b/>
          <w:bCs/>
          <w:color w:val="000000"/>
          <w:sz w:val="24"/>
          <w:szCs w:val="24"/>
        </w:rPr>
      </w:pPr>
    </w:p>
    <w:p w14:paraId="5224F6FE">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4A84B8F">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高压油泵PTO总成自制项目</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271B9B">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高压油泵PTO总成自制项目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452AC0BF">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20D4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14:paraId="401ED1A8">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3997" w:type="dxa"/>
            <w:vAlign w:val="center"/>
          </w:tcPr>
          <w:p w14:paraId="795DEC26">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14:paraId="23397102">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14:paraId="6DB10F4C">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14:paraId="3CA4D1F1">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1A16E3CB">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14:paraId="7B2DA308">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14:paraId="73A6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14:paraId="0F175002">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3997" w:type="dxa"/>
            <w:vAlign w:val="center"/>
          </w:tcPr>
          <w:p w14:paraId="0C652543">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14:paraId="1F53283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14:paraId="543AE4F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14:paraId="726F359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2F67DBD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14:paraId="3E6995D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14:paraId="478BE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FB8D7C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997" w:type="dxa"/>
            <w:shd w:val="clear" w:color="auto" w:fill="auto"/>
            <w:vAlign w:val="center"/>
          </w:tcPr>
          <w:p w14:paraId="1D5F389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F9D857B">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AB7BB7B">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5910C319">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910B71E">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5557375">
            <w:pPr>
              <w:jc w:val="center"/>
              <w:rPr>
                <w:rFonts w:hint="eastAsia" w:ascii="宋体" w:hAnsi="宋体" w:eastAsia="宋体" w:cs="宋体"/>
                <w:sz w:val="20"/>
                <w:szCs w:val="20"/>
                <w:highlight w:val="yellow"/>
              </w:rPr>
            </w:pPr>
          </w:p>
        </w:tc>
      </w:tr>
      <w:tr w14:paraId="50C8C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DC6916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3997" w:type="dxa"/>
            <w:shd w:val="clear" w:color="auto" w:fill="auto"/>
            <w:vAlign w:val="center"/>
          </w:tcPr>
          <w:p w14:paraId="0C6877C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68332A5D">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0DC2F2A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1DADC77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121CA20D">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14343B78">
            <w:pPr>
              <w:jc w:val="center"/>
              <w:rPr>
                <w:rFonts w:hint="eastAsia" w:ascii="宋体" w:hAnsi="宋体" w:eastAsia="宋体" w:cs="宋体"/>
                <w:sz w:val="20"/>
                <w:szCs w:val="20"/>
                <w:highlight w:val="yellow"/>
              </w:rPr>
            </w:pPr>
          </w:p>
        </w:tc>
      </w:tr>
      <w:tr w14:paraId="7686B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863" w:type="dxa"/>
            <w:shd w:val="clear" w:color="auto" w:fill="auto"/>
            <w:vAlign w:val="center"/>
          </w:tcPr>
          <w:p w14:paraId="7D17BEC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3997" w:type="dxa"/>
            <w:shd w:val="clear" w:color="auto" w:fill="auto"/>
            <w:vAlign w:val="center"/>
          </w:tcPr>
          <w:p w14:paraId="1B9B148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109A9CF">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4EBDE42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2BA3713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574CF378">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043342EA">
            <w:pPr>
              <w:jc w:val="center"/>
              <w:rPr>
                <w:rFonts w:hint="eastAsia" w:ascii="宋体" w:hAnsi="宋体" w:eastAsia="宋体" w:cs="宋体"/>
                <w:sz w:val="20"/>
                <w:szCs w:val="20"/>
                <w:highlight w:val="yellow"/>
              </w:rPr>
            </w:pPr>
          </w:p>
        </w:tc>
      </w:tr>
      <w:tr w14:paraId="60C2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749DBB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997" w:type="dxa"/>
            <w:shd w:val="clear" w:color="auto" w:fill="auto"/>
            <w:vAlign w:val="center"/>
          </w:tcPr>
          <w:p w14:paraId="1CEAA83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9F40E6C">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031B16EF">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188B3826">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4596628E">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D348C89">
            <w:pPr>
              <w:jc w:val="center"/>
              <w:rPr>
                <w:rFonts w:hint="eastAsia" w:ascii="宋体" w:hAnsi="宋体" w:eastAsia="宋体" w:cs="宋体"/>
                <w:sz w:val="20"/>
                <w:szCs w:val="20"/>
                <w:highlight w:val="yellow"/>
              </w:rPr>
            </w:pPr>
          </w:p>
        </w:tc>
      </w:tr>
      <w:tr w14:paraId="7D579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8E3EBD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997" w:type="dxa"/>
            <w:shd w:val="clear" w:color="auto" w:fill="auto"/>
            <w:vAlign w:val="center"/>
          </w:tcPr>
          <w:p w14:paraId="41C3E47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2EC2DB4">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C6F18D5">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43385DB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021F64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40A9FE5">
            <w:pPr>
              <w:jc w:val="center"/>
              <w:rPr>
                <w:rFonts w:hint="eastAsia" w:ascii="宋体" w:hAnsi="宋体" w:eastAsia="宋体" w:cs="宋体"/>
                <w:sz w:val="20"/>
                <w:szCs w:val="20"/>
                <w:highlight w:val="yellow"/>
              </w:rPr>
            </w:pPr>
          </w:p>
        </w:tc>
      </w:tr>
      <w:tr w14:paraId="212A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606F5D1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2B5212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6986F88">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20FB68C9">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67EF9938">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6DD5EE01">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3189573">
            <w:pPr>
              <w:jc w:val="center"/>
              <w:rPr>
                <w:rFonts w:hint="eastAsia" w:ascii="宋体" w:hAnsi="宋体" w:eastAsia="宋体" w:cs="宋体"/>
                <w:sz w:val="20"/>
                <w:szCs w:val="20"/>
                <w:highlight w:val="yellow"/>
              </w:rPr>
            </w:pPr>
          </w:p>
        </w:tc>
      </w:tr>
      <w:tr w14:paraId="1878E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FA29C4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145A2A8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388ABD42">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120D2A20">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4ED9F9EE">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4D60E844">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79D63302">
            <w:pPr>
              <w:jc w:val="center"/>
              <w:rPr>
                <w:rFonts w:hint="eastAsia" w:ascii="宋体" w:hAnsi="宋体" w:eastAsia="宋体" w:cs="宋体"/>
                <w:sz w:val="20"/>
                <w:szCs w:val="20"/>
                <w:highlight w:val="yellow"/>
              </w:rPr>
            </w:pPr>
          </w:p>
        </w:tc>
      </w:tr>
      <w:tr w14:paraId="0FFAD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09B486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4301E8F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6F523213">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BE2C39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5C6D8740">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75E6A676">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CD6892E">
            <w:pPr>
              <w:jc w:val="center"/>
              <w:rPr>
                <w:rFonts w:hint="eastAsia" w:ascii="宋体" w:hAnsi="宋体" w:eastAsia="宋体" w:cs="宋体"/>
                <w:sz w:val="20"/>
                <w:szCs w:val="20"/>
                <w:highlight w:val="yellow"/>
              </w:rPr>
            </w:pPr>
          </w:p>
        </w:tc>
      </w:tr>
      <w:tr w14:paraId="1A06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B991F1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3A25822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C064303">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4F9CEB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7D7D569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6F9B0E8C">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DF5A630">
            <w:pPr>
              <w:jc w:val="center"/>
              <w:rPr>
                <w:rFonts w:hint="eastAsia" w:ascii="宋体" w:hAnsi="宋体" w:eastAsia="宋体" w:cs="宋体"/>
                <w:sz w:val="20"/>
                <w:szCs w:val="20"/>
                <w:highlight w:val="yellow"/>
              </w:rPr>
            </w:pPr>
          </w:p>
        </w:tc>
      </w:tr>
      <w:tr w14:paraId="6861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45B966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374A702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541FEBA">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77E13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0546E6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0D424B7">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7E558A62">
            <w:pPr>
              <w:jc w:val="center"/>
              <w:rPr>
                <w:rFonts w:hint="eastAsia" w:ascii="宋体" w:hAnsi="宋体" w:eastAsia="宋体" w:cs="宋体"/>
                <w:sz w:val="20"/>
                <w:szCs w:val="20"/>
                <w:highlight w:val="yellow"/>
              </w:rPr>
            </w:pPr>
          </w:p>
        </w:tc>
      </w:tr>
      <w:tr w14:paraId="3936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D5C612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2B388AA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49549F2B">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A9CF565">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04860B0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172A1FA9">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089DCDC3">
            <w:pPr>
              <w:jc w:val="center"/>
              <w:rPr>
                <w:rFonts w:hint="eastAsia" w:ascii="宋体" w:hAnsi="宋体" w:eastAsia="宋体" w:cs="宋体"/>
                <w:sz w:val="20"/>
                <w:szCs w:val="20"/>
                <w:highlight w:val="yellow"/>
              </w:rPr>
            </w:pPr>
          </w:p>
        </w:tc>
      </w:tr>
      <w:tr w14:paraId="22D56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060AE3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32C2F69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56680006">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1984313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7DF244A6">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1057C33">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252AF474">
            <w:pPr>
              <w:jc w:val="center"/>
              <w:rPr>
                <w:rFonts w:hint="eastAsia" w:ascii="宋体" w:hAnsi="宋体" w:eastAsia="宋体" w:cs="宋体"/>
                <w:sz w:val="20"/>
                <w:szCs w:val="20"/>
                <w:highlight w:val="yellow"/>
              </w:rPr>
            </w:pPr>
          </w:p>
        </w:tc>
      </w:tr>
      <w:tr w14:paraId="2253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21C027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5C97F5E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1BC0DBA">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48971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55E6D5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5DCD7B7">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74CD6B4">
            <w:pPr>
              <w:jc w:val="center"/>
              <w:rPr>
                <w:rFonts w:hint="eastAsia" w:ascii="宋体" w:hAnsi="宋体" w:eastAsia="宋体" w:cs="宋体"/>
                <w:sz w:val="20"/>
                <w:szCs w:val="20"/>
                <w:highlight w:val="yellow"/>
              </w:rPr>
            </w:pPr>
          </w:p>
        </w:tc>
      </w:tr>
      <w:tr w14:paraId="45701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411E7BC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037EB78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06EA80F">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FF8C5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50E041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790494B">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A58EBF0">
            <w:pPr>
              <w:jc w:val="center"/>
              <w:rPr>
                <w:rFonts w:hint="eastAsia" w:ascii="宋体" w:hAnsi="宋体" w:eastAsia="宋体" w:cs="宋体"/>
                <w:sz w:val="20"/>
                <w:szCs w:val="20"/>
                <w:highlight w:val="yellow"/>
              </w:rPr>
            </w:pPr>
          </w:p>
        </w:tc>
      </w:tr>
      <w:tr w14:paraId="53DE3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0E34EA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644DAE3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7B9468E">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461A2C03">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6585D9B">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3139DBB5">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4142787">
            <w:pPr>
              <w:jc w:val="center"/>
              <w:rPr>
                <w:rFonts w:hint="eastAsia" w:ascii="宋体" w:hAnsi="宋体" w:eastAsia="宋体" w:cs="宋体"/>
                <w:sz w:val="20"/>
                <w:szCs w:val="20"/>
                <w:highlight w:val="yellow"/>
              </w:rPr>
            </w:pPr>
          </w:p>
        </w:tc>
      </w:tr>
      <w:tr w14:paraId="78C4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41B7930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vAlign w:val="center"/>
          </w:tcPr>
          <w:p w14:paraId="3A8FB94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vAlign w:val="center"/>
          </w:tcPr>
          <w:p w14:paraId="36C299F4">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14:paraId="6298E6FA">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14:paraId="1EE1EDA6">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5C66B133">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6AA8DEB2">
            <w:pPr>
              <w:jc w:val="center"/>
              <w:rPr>
                <w:rFonts w:hint="eastAsia" w:ascii="宋体" w:hAnsi="宋体" w:eastAsia="宋体" w:cs="宋体"/>
                <w:sz w:val="20"/>
                <w:szCs w:val="20"/>
                <w:highlight w:val="yellow"/>
              </w:rPr>
            </w:pPr>
          </w:p>
        </w:tc>
      </w:tr>
      <w:tr w14:paraId="4CED8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14:paraId="28C2844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vAlign w:val="center"/>
          </w:tcPr>
          <w:p w14:paraId="09A433B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vAlign w:val="center"/>
          </w:tcPr>
          <w:p w14:paraId="48209A2A">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14:paraId="49B1211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14:paraId="7D73B8C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28DFBB15">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138B55C">
            <w:pPr>
              <w:jc w:val="center"/>
              <w:rPr>
                <w:rFonts w:hint="eastAsia" w:ascii="宋体" w:hAnsi="宋体" w:eastAsia="宋体" w:cs="宋体"/>
                <w:sz w:val="20"/>
                <w:szCs w:val="20"/>
                <w:highlight w:val="yellow"/>
              </w:rPr>
            </w:pPr>
          </w:p>
        </w:tc>
      </w:tr>
    </w:tbl>
    <w:p w14:paraId="395D2BB0">
      <w:pPr>
        <w:spacing w:before="78" w:line="219" w:lineRule="auto"/>
        <w:ind w:left="431"/>
        <w:rPr>
          <w:rFonts w:ascii="宋体" w:hAnsi="宋体" w:eastAsia="宋体" w:cs="宋体"/>
          <w:spacing w:val="-8"/>
          <w:szCs w:val="21"/>
        </w:rPr>
      </w:pPr>
    </w:p>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36DBC587">
      <w:pPr>
        <w:spacing w:before="78" w:line="219" w:lineRule="auto"/>
        <w:ind w:left="431"/>
        <w:rPr>
          <w:rFonts w:hint="eastAsia" w:ascii="宋体" w:hAnsi="宋体" w:eastAsia="宋体" w:cs="宋体"/>
          <w:b w:val="0"/>
          <w:bCs w:val="0"/>
          <w:spacing w:val="-6"/>
          <w:szCs w:val="21"/>
          <w:lang w:val="en-US" w:eastAsia="zh-CN"/>
        </w:rPr>
      </w:pPr>
    </w:p>
    <w:p w14:paraId="66479C0D">
      <w:pPr>
        <w:spacing w:line="105" w:lineRule="exact"/>
      </w:pPr>
    </w:p>
    <w:p w14:paraId="1FDEF366">
      <w:pPr>
        <w:sectPr>
          <w:footerReference r:id="rId26"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D3962F7">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高压油泵PTO总成自制项目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11F38224">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高压油泵PTO总成自制项目</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D2EEDF1">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高压油泵PTO总成自制项目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hint="default" w:ascii="Times New Roman" w:hAnsi="Times New Roman" w:eastAsia="宋体" w:cs="Times New Roman"/>
                <w:b/>
                <w:szCs w:val="20"/>
                <w:lang w:val="en-US"/>
              </w:rPr>
            </w:pPr>
            <w:r>
              <w:rPr>
                <w:rFonts w:hint="eastAsia" w:ascii="宋体" w:hAnsi="宋体" w:eastAsia="宋体" w:cs="宋体"/>
                <w:sz w:val="24"/>
                <w:szCs w:val="24"/>
                <w:highlight w:val="none"/>
                <w:u w:val="single"/>
                <w:lang w:val="en-US" w:eastAsia="zh-CN"/>
              </w:rPr>
              <w:t>高压油泵PTO总成分装线</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292018AD">
      <w:pPr>
        <w:pStyle w:val="17"/>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13C51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9F75B88">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308DF7B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2558BF3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76EE9DD2">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26D6FA2E">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5DAC7889">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38A7AD0C">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14:paraId="77F97AD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2A69569C">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9</w:t>
            </w:r>
          </w:p>
        </w:tc>
      </w:tr>
      <w:tr w14:paraId="47AF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B7DD08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35AF23F0">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1D698E18">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08B8EF89">
            <w:pPr>
              <w:keepNext w:val="0"/>
              <w:keepLines w:val="0"/>
              <w:widowControl/>
              <w:suppressLineNumbers w:val="0"/>
              <w:jc w:val="center"/>
              <w:textAlignment w:val="center"/>
              <w:rPr>
                <w:rFonts w:hint="eastAsia" w:ascii="宋体" w:hAnsi="宋体" w:eastAsia="宋体" w:cs="宋体"/>
                <w:b/>
                <w:bCs/>
                <w:spacing w:val="-2"/>
                <w:kern w:val="0"/>
                <w:sz w:val="20"/>
                <w:szCs w:val="20"/>
              </w:rPr>
            </w:pPr>
            <w:r>
              <w:rPr>
                <w:rFonts w:hint="eastAsia" w:ascii="宋体" w:hAnsi="宋体" w:eastAsia="宋体" w:cs="宋体"/>
                <w:b/>
                <w:bCs/>
                <w:i w:val="0"/>
                <w:iCs w:val="0"/>
                <w:color w:val="000000"/>
                <w:kern w:val="0"/>
                <w:sz w:val="20"/>
                <w:szCs w:val="20"/>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5F5A8274">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419014B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1573FDF7">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14:paraId="2D40BB3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3E7F6A17">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备  注</w:t>
            </w:r>
          </w:p>
        </w:tc>
      </w:tr>
      <w:tr w14:paraId="3958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FFDD">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45CD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机械结构-主框架</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B6A98">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A6F9E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A780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AAB590D">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1AEA1EC">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268FFE9">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0EFF466">
            <w:pPr>
              <w:jc w:val="center"/>
              <w:rPr>
                <w:rFonts w:hint="eastAsia" w:ascii="宋体" w:hAnsi="宋体" w:eastAsia="宋体" w:cs="宋体"/>
                <w:b w:val="0"/>
                <w:bCs w:val="0"/>
                <w:kern w:val="0"/>
                <w:sz w:val="20"/>
                <w:szCs w:val="20"/>
              </w:rPr>
            </w:pPr>
          </w:p>
        </w:tc>
      </w:tr>
      <w:tr w14:paraId="2A2E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6DB47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3E11C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 xml:space="preserve"> 机械结构-升降机构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80718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E6154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7A123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DFA57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0BCCE8C">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1C8D380">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C894164">
            <w:pPr>
              <w:jc w:val="center"/>
              <w:rPr>
                <w:rFonts w:hint="eastAsia" w:ascii="宋体" w:hAnsi="宋体" w:eastAsia="宋体" w:cs="宋体"/>
                <w:b w:val="0"/>
                <w:bCs w:val="0"/>
                <w:kern w:val="0"/>
                <w:sz w:val="20"/>
                <w:szCs w:val="20"/>
              </w:rPr>
            </w:pPr>
          </w:p>
        </w:tc>
      </w:tr>
      <w:tr w14:paraId="50C29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A7048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E7833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机械结构-回转机构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F0993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4B4A7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451B5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F58739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3BF17CF">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BF89C36">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9BACC27">
            <w:pPr>
              <w:jc w:val="center"/>
              <w:rPr>
                <w:rFonts w:hint="eastAsia" w:ascii="宋体" w:hAnsi="宋体" w:eastAsia="宋体" w:cs="宋体"/>
                <w:b w:val="0"/>
                <w:bCs w:val="0"/>
                <w:kern w:val="0"/>
                <w:sz w:val="20"/>
                <w:szCs w:val="20"/>
              </w:rPr>
            </w:pPr>
          </w:p>
        </w:tc>
      </w:tr>
      <w:tr w14:paraId="5B24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DB8CB3">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BC5A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机械结构-夹紧抓手</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F180F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D71C7">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2D0DC4">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B635F17">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226419D">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9434250">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4ADDC67">
            <w:pPr>
              <w:jc w:val="center"/>
              <w:rPr>
                <w:rFonts w:hint="eastAsia" w:ascii="宋体" w:hAnsi="宋体" w:eastAsia="宋体" w:cs="宋体"/>
                <w:b w:val="0"/>
                <w:bCs w:val="0"/>
                <w:kern w:val="0"/>
                <w:sz w:val="20"/>
                <w:szCs w:val="20"/>
              </w:rPr>
            </w:pPr>
          </w:p>
        </w:tc>
      </w:tr>
      <w:tr w14:paraId="41DA6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24277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BCBAD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动力与驱动-升降伺服系统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D80D4E">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0791BA">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54A505">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6B6A0C1">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BCFD8C4">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BC6C14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CEE68BC">
            <w:pPr>
              <w:jc w:val="center"/>
              <w:rPr>
                <w:rFonts w:hint="eastAsia" w:ascii="宋体" w:hAnsi="宋体" w:eastAsia="宋体" w:cs="宋体"/>
                <w:b w:val="0"/>
                <w:bCs w:val="0"/>
                <w:sz w:val="20"/>
                <w:szCs w:val="20"/>
              </w:rPr>
            </w:pPr>
          </w:p>
        </w:tc>
      </w:tr>
      <w:tr w14:paraId="690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04BCC3">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6</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57B0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动力与驱动-回转伺服系统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85C3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FF0F2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1946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31197E8">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ACBC8C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608FCCA">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75FE404">
            <w:pPr>
              <w:jc w:val="center"/>
              <w:rPr>
                <w:rFonts w:hint="eastAsia" w:ascii="宋体" w:hAnsi="宋体" w:eastAsia="宋体" w:cs="宋体"/>
                <w:b w:val="0"/>
                <w:bCs w:val="0"/>
                <w:sz w:val="20"/>
                <w:szCs w:val="20"/>
              </w:rPr>
            </w:pPr>
          </w:p>
        </w:tc>
      </w:tr>
      <w:tr w14:paraId="7AF57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B0B7CA">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7</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7B316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电气与控制-主控系统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876A4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0A753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A9BEB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0B52A6E0">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D81949D">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FE7E42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69DC397">
            <w:pPr>
              <w:jc w:val="center"/>
              <w:rPr>
                <w:rFonts w:hint="eastAsia" w:ascii="宋体" w:hAnsi="宋体" w:eastAsia="宋体" w:cs="宋体"/>
                <w:b w:val="0"/>
                <w:bCs w:val="0"/>
                <w:sz w:val="20"/>
                <w:szCs w:val="20"/>
              </w:rPr>
            </w:pPr>
          </w:p>
        </w:tc>
      </w:tr>
      <w:tr w14:paraId="241F0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2F04E4">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8</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8F58F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电气与控制-人机界面（HMI）</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1CE6F1">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36C0C8">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0FF3DF">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EA31E8F">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59A5E705">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C90F5F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447D466">
            <w:pPr>
              <w:jc w:val="center"/>
              <w:rPr>
                <w:rFonts w:hint="eastAsia" w:ascii="宋体" w:hAnsi="宋体" w:eastAsia="宋体" w:cs="宋体"/>
                <w:b w:val="0"/>
                <w:bCs w:val="0"/>
                <w:sz w:val="20"/>
                <w:szCs w:val="20"/>
              </w:rPr>
            </w:pPr>
          </w:p>
        </w:tc>
      </w:tr>
      <w:tr w14:paraId="59457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9F9653">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9</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A91A6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电气与控制- 低压电器</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96B6C7">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01279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A32E3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3AC3C46">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8A4F322">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62195DF3">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ABECD11">
            <w:pPr>
              <w:jc w:val="center"/>
              <w:rPr>
                <w:rFonts w:hint="eastAsia" w:ascii="宋体" w:hAnsi="宋体" w:eastAsia="宋体" w:cs="宋体"/>
                <w:b w:val="0"/>
                <w:bCs w:val="0"/>
                <w:sz w:val="20"/>
                <w:szCs w:val="20"/>
              </w:rPr>
            </w:pPr>
          </w:p>
        </w:tc>
      </w:tr>
      <w:tr w14:paraId="0348E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924D8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C823E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电气与控制-控制柜</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25484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1D12F9">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6B1DBB">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495C283">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963F1A7">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7703E208">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4732973">
            <w:pPr>
              <w:jc w:val="center"/>
              <w:rPr>
                <w:rFonts w:hint="eastAsia" w:ascii="宋体" w:hAnsi="宋体" w:eastAsia="宋体" w:cs="宋体"/>
                <w:b w:val="0"/>
                <w:bCs w:val="0"/>
                <w:sz w:val="20"/>
                <w:szCs w:val="20"/>
              </w:rPr>
            </w:pPr>
          </w:p>
        </w:tc>
      </w:tr>
      <w:tr w14:paraId="03A49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61C32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7985C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传感与安全-定位传感器</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554069">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F1D866">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6C3B8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3AC2F4B">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606E67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742A5F97">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8C6B8CB">
            <w:pPr>
              <w:jc w:val="center"/>
              <w:rPr>
                <w:rFonts w:hint="eastAsia" w:ascii="宋体" w:hAnsi="宋体" w:eastAsia="宋体" w:cs="宋体"/>
                <w:b w:val="0"/>
                <w:bCs w:val="0"/>
                <w:sz w:val="20"/>
                <w:szCs w:val="20"/>
              </w:rPr>
            </w:pPr>
          </w:p>
        </w:tc>
      </w:tr>
      <w:tr w14:paraId="70332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35BE4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6500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传感与安全-安全系统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2C914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A332D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59EA3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2F86F8B">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C5B4BE3">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E8036A8">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47A7A79">
            <w:pPr>
              <w:jc w:val="center"/>
              <w:rPr>
                <w:rFonts w:hint="eastAsia" w:ascii="宋体" w:hAnsi="宋体" w:eastAsia="宋体" w:cs="宋体"/>
                <w:b w:val="0"/>
                <w:bCs w:val="0"/>
                <w:sz w:val="20"/>
                <w:szCs w:val="20"/>
              </w:rPr>
            </w:pPr>
          </w:p>
        </w:tc>
      </w:tr>
      <w:tr w14:paraId="772A3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8B188F">
            <w:pPr>
              <w:jc w:val="center"/>
              <w:rPr>
                <w:rFonts w:hint="eastAsia" w:ascii="宋体" w:hAnsi="宋体" w:eastAsia="宋体" w:cs="宋体"/>
                <w:b w:val="0"/>
                <w:bCs w:val="0"/>
                <w:color w:val="000000"/>
                <w:kern w:val="0"/>
                <w:sz w:val="20"/>
                <w:szCs w:val="20"/>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0803BF9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总</w:t>
            </w:r>
            <w:r>
              <w:rPr>
                <w:rStyle w:val="136"/>
                <w:rFonts w:hint="eastAsia" w:ascii="宋体" w:hAnsi="宋体" w:eastAsia="宋体" w:cs="宋体"/>
                <w:b/>
                <w:bCs/>
                <w:sz w:val="20"/>
                <w:szCs w:val="20"/>
                <w:lang w:val="en-US" w:eastAsia="zh-CN" w:bidi="ar"/>
              </w:rPr>
              <w:t xml:space="preserve">价合计列入价格汇总表 </w:t>
            </w:r>
            <w:r>
              <w:rPr>
                <w:rStyle w:val="137"/>
                <w:rFonts w:hint="eastAsia" w:ascii="宋体" w:hAnsi="宋体" w:eastAsia="宋体" w:cs="宋体"/>
                <w:b/>
                <w:bCs/>
                <w:sz w:val="20"/>
                <w:szCs w:val="20"/>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553E25FB">
            <w:pPr>
              <w:jc w:val="center"/>
              <w:rPr>
                <w:rFonts w:hint="eastAsia" w:ascii="宋体" w:hAnsi="宋体" w:eastAsia="宋体" w:cs="宋体"/>
                <w:b w:val="0"/>
                <w:bCs w:val="0"/>
                <w:sz w:val="20"/>
                <w:szCs w:val="20"/>
              </w:rPr>
            </w:pPr>
            <w:r>
              <w:rPr>
                <w:rFonts w:hint="eastAsia" w:ascii="宋体" w:hAnsi="宋体" w:eastAsia="宋体" w:cs="宋体"/>
                <w:b/>
                <w:bCs/>
                <w:i w:val="0"/>
                <w:iCs w:val="0"/>
                <w:color w:val="000000"/>
                <w:kern w:val="0"/>
                <w:sz w:val="20"/>
                <w:szCs w:val="20"/>
                <w:u w:val="none"/>
                <w:lang w:val="en-US" w:eastAsia="zh-CN" w:bidi="ar"/>
              </w:rPr>
              <w:t>总价合计（不含税）￥    元</w:t>
            </w:r>
          </w:p>
        </w:tc>
      </w:tr>
    </w:tbl>
    <w:p w14:paraId="1400DB0B">
      <w:pPr>
        <w:spacing w:before="58" w:line="219" w:lineRule="auto"/>
        <w:ind w:left="8"/>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79D3AB26">
      <w:pPr>
        <w:sectPr>
          <w:footerReference r:id="rId29"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094BA17">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2719AB5">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00DA112">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44E0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14:paraId="47FD7228">
            <w:pPr>
              <w:spacing w:line="296" w:lineRule="auto"/>
              <w:rPr>
                <w:rFonts w:ascii="Arial"/>
              </w:rPr>
            </w:pPr>
          </w:p>
          <w:p w14:paraId="5EAD809B">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14:paraId="1B5F18A1">
            <w:pPr>
              <w:spacing w:line="295" w:lineRule="auto"/>
              <w:rPr>
                <w:rFonts w:ascii="Arial"/>
              </w:rPr>
            </w:pPr>
          </w:p>
          <w:p w14:paraId="66B2F754">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noWrap w:val="0"/>
            <w:vAlign w:val="top"/>
          </w:tcPr>
          <w:p w14:paraId="0885302E">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noWrap w:val="0"/>
            <w:vAlign w:val="top"/>
          </w:tcPr>
          <w:p w14:paraId="6E2B0195">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596" w:type="dxa"/>
            <w:noWrap w:val="0"/>
            <w:vAlign w:val="top"/>
          </w:tcPr>
          <w:p w14:paraId="5A668BB1">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164" w:type="dxa"/>
            <w:noWrap w:val="0"/>
            <w:vAlign w:val="top"/>
          </w:tcPr>
          <w:p w14:paraId="48A18D11">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840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14:paraId="73D3D995">
            <w:pPr>
              <w:rPr>
                <w:rFonts w:ascii="Arial"/>
              </w:rPr>
            </w:pPr>
          </w:p>
        </w:tc>
        <w:tc>
          <w:tcPr>
            <w:tcW w:w="3530" w:type="dxa"/>
            <w:vMerge w:val="continue"/>
            <w:tcBorders>
              <w:top w:val="nil"/>
            </w:tcBorders>
            <w:noWrap w:val="0"/>
            <w:vAlign w:val="top"/>
          </w:tcPr>
          <w:p w14:paraId="2727DAE2">
            <w:pPr>
              <w:rPr>
                <w:rFonts w:ascii="Arial"/>
              </w:rPr>
            </w:pPr>
          </w:p>
        </w:tc>
        <w:tc>
          <w:tcPr>
            <w:tcW w:w="2159" w:type="dxa"/>
            <w:noWrap w:val="0"/>
            <w:vAlign w:val="top"/>
          </w:tcPr>
          <w:p w14:paraId="7A4AF9F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noWrap w:val="0"/>
            <w:vAlign w:val="top"/>
          </w:tcPr>
          <w:p w14:paraId="600B0B6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noWrap w:val="0"/>
            <w:vAlign w:val="top"/>
          </w:tcPr>
          <w:p w14:paraId="6C98B301">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14:paraId="7DA62C2A">
            <w:pPr>
              <w:spacing w:before="161" w:line="185" w:lineRule="auto"/>
              <w:ind w:left="1031"/>
              <w:rPr>
                <w:rFonts w:ascii="宋体" w:hAnsi="宋体" w:eastAsia="宋体" w:cs="宋体"/>
                <w:szCs w:val="21"/>
              </w:rPr>
            </w:pPr>
            <w:r>
              <w:rPr>
                <w:rFonts w:ascii="宋体" w:hAnsi="宋体" w:eastAsia="宋体" w:cs="宋体"/>
                <w:szCs w:val="21"/>
              </w:rPr>
              <w:t>4</w:t>
            </w:r>
          </w:p>
        </w:tc>
      </w:tr>
      <w:tr w14:paraId="40515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29F55985">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noWrap w:val="0"/>
            <w:vAlign w:val="top"/>
          </w:tcPr>
          <w:p w14:paraId="48E10860">
            <w:pPr>
              <w:spacing w:before="209" w:line="221" w:lineRule="auto"/>
              <w:ind w:left="1450"/>
              <w:jc w:val="both"/>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14:paraId="5A1BEFC8">
            <w:pPr>
              <w:rPr>
                <w:rFonts w:ascii="Arial"/>
              </w:rPr>
            </w:pPr>
          </w:p>
        </w:tc>
        <w:tc>
          <w:tcPr>
            <w:tcW w:w="2186" w:type="dxa"/>
            <w:noWrap w:val="0"/>
            <w:vAlign w:val="top"/>
          </w:tcPr>
          <w:p w14:paraId="4E012B4D">
            <w:pPr>
              <w:rPr>
                <w:rFonts w:ascii="Arial"/>
              </w:rPr>
            </w:pPr>
          </w:p>
        </w:tc>
        <w:tc>
          <w:tcPr>
            <w:tcW w:w="2596" w:type="dxa"/>
            <w:noWrap w:val="0"/>
            <w:vAlign w:val="top"/>
          </w:tcPr>
          <w:p w14:paraId="3EBE53CC">
            <w:pPr>
              <w:rPr>
                <w:rFonts w:ascii="Arial"/>
              </w:rPr>
            </w:pPr>
          </w:p>
        </w:tc>
        <w:tc>
          <w:tcPr>
            <w:tcW w:w="2164" w:type="dxa"/>
            <w:noWrap w:val="0"/>
            <w:vAlign w:val="top"/>
          </w:tcPr>
          <w:p w14:paraId="12BF52D3">
            <w:pPr>
              <w:rPr>
                <w:rFonts w:ascii="Arial"/>
              </w:rPr>
            </w:pPr>
          </w:p>
        </w:tc>
      </w:tr>
      <w:tr w14:paraId="08A48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B9BD274">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noWrap w:val="0"/>
            <w:vAlign w:val="top"/>
          </w:tcPr>
          <w:p w14:paraId="4F3DB224">
            <w:pPr>
              <w:spacing w:before="209" w:line="221" w:lineRule="auto"/>
              <w:ind w:left="1450"/>
              <w:jc w:val="both"/>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14:paraId="30C91914">
            <w:pPr>
              <w:rPr>
                <w:rFonts w:ascii="Arial"/>
              </w:rPr>
            </w:pPr>
          </w:p>
        </w:tc>
        <w:tc>
          <w:tcPr>
            <w:tcW w:w="2186" w:type="dxa"/>
            <w:noWrap w:val="0"/>
            <w:vAlign w:val="top"/>
          </w:tcPr>
          <w:p w14:paraId="0C29838B">
            <w:pPr>
              <w:rPr>
                <w:rFonts w:ascii="Arial"/>
              </w:rPr>
            </w:pPr>
          </w:p>
        </w:tc>
        <w:tc>
          <w:tcPr>
            <w:tcW w:w="2596" w:type="dxa"/>
            <w:noWrap w:val="0"/>
            <w:vAlign w:val="top"/>
          </w:tcPr>
          <w:p w14:paraId="36F04CC6">
            <w:pPr>
              <w:rPr>
                <w:rFonts w:ascii="Arial"/>
              </w:rPr>
            </w:pPr>
          </w:p>
        </w:tc>
        <w:tc>
          <w:tcPr>
            <w:tcW w:w="2164" w:type="dxa"/>
            <w:vMerge w:val="restart"/>
            <w:noWrap w:val="0"/>
            <w:vAlign w:val="top"/>
          </w:tcPr>
          <w:p w14:paraId="36D61613">
            <w:pPr>
              <w:spacing w:line="295" w:lineRule="auto"/>
              <w:rPr>
                <w:rFonts w:ascii="Arial"/>
              </w:rPr>
            </w:pPr>
          </w:p>
          <w:p w14:paraId="1AD0BB87">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B11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14:paraId="7AFE316C">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noWrap w:val="0"/>
            <w:vAlign w:val="top"/>
          </w:tcPr>
          <w:p w14:paraId="32667D3C">
            <w:pPr>
              <w:spacing w:before="212" w:line="221" w:lineRule="auto"/>
              <w:ind w:left="1241"/>
              <w:jc w:val="both"/>
              <w:rPr>
                <w:rFonts w:ascii="宋体" w:hAnsi="宋体" w:eastAsia="宋体" w:cs="宋体"/>
                <w:szCs w:val="21"/>
              </w:rPr>
            </w:pPr>
            <w:r>
              <w:rPr>
                <w:rFonts w:hint="eastAsia" w:ascii="宋体" w:hAnsi="宋体" w:eastAsia="宋体" w:cs="宋体"/>
                <w:spacing w:val="-1"/>
                <w:szCs w:val="21"/>
              </w:rPr>
              <w:t>设备安装费</w:t>
            </w:r>
          </w:p>
        </w:tc>
        <w:tc>
          <w:tcPr>
            <w:tcW w:w="2159" w:type="dxa"/>
            <w:noWrap w:val="0"/>
            <w:vAlign w:val="top"/>
          </w:tcPr>
          <w:p w14:paraId="3837B04E">
            <w:pPr>
              <w:rPr>
                <w:rFonts w:ascii="Arial"/>
              </w:rPr>
            </w:pPr>
          </w:p>
        </w:tc>
        <w:tc>
          <w:tcPr>
            <w:tcW w:w="2186" w:type="dxa"/>
            <w:noWrap w:val="0"/>
            <w:vAlign w:val="top"/>
          </w:tcPr>
          <w:p w14:paraId="2B872907">
            <w:pPr>
              <w:rPr>
                <w:rFonts w:ascii="Arial"/>
              </w:rPr>
            </w:pPr>
          </w:p>
        </w:tc>
        <w:tc>
          <w:tcPr>
            <w:tcW w:w="2596" w:type="dxa"/>
            <w:noWrap w:val="0"/>
            <w:vAlign w:val="top"/>
          </w:tcPr>
          <w:p w14:paraId="2C94548B">
            <w:pPr>
              <w:rPr>
                <w:rFonts w:ascii="Arial"/>
              </w:rPr>
            </w:pPr>
          </w:p>
        </w:tc>
        <w:tc>
          <w:tcPr>
            <w:tcW w:w="2164" w:type="dxa"/>
            <w:vMerge w:val="continue"/>
            <w:noWrap w:val="0"/>
            <w:vAlign w:val="top"/>
          </w:tcPr>
          <w:p w14:paraId="2AC550E1">
            <w:pPr>
              <w:rPr>
                <w:rFonts w:ascii="Arial"/>
              </w:rPr>
            </w:pPr>
          </w:p>
        </w:tc>
      </w:tr>
      <w:tr w14:paraId="5FD79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0322A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noWrap w:val="0"/>
            <w:vAlign w:val="top"/>
          </w:tcPr>
          <w:p w14:paraId="3D72CC92">
            <w:pPr>
              <w:spacing w:before="210" w:line="221" w:lineRule="auto"/>
              <w:ind w:firstLine="1236" w:firstLineChars="600"/>
              <w:jc w:val="both"/>
              <w:rPr>
                <w:rFonts w:ascii="宋体" w:hAnsi="宋体" w:eastAsia="宋体" w:cs="宋体"/>
                <w:szCs w:val="21"/>
              </w:rPr>
            </w:pPr>
            <w:r>
              <w:rPr>
                <w:rFonts w:hint="eastAsia" w:ascii="宋体" w:hAnsi="宋体" w:eastAsia="宋体" w:cs="宋体"/>
                <w:spacing w:val="-2"/>
                <w:szCs w:val="21"/>
              </w:rPr>
              <w:t>设备调试费</w:t>
            </w:r>
          </w:p>
        </w:tc>
        <w:tc>
          <w:tcPr>
            <w:tcW w:w="2159" w:type="dxa"/>
            <w:noWrap w:val="0"/>
            <w:vAlign w:val="top"/>
          </w:tcPr>
          <w:p w14:paraId="7F02F3D0">
            <w:pPr>
              <w:rPr>
                <w:rFonts w:ascii="Arial"/>
              </w:rPr>
            </w:pPr>
          </w:p>
        </w:tc>
        <w:tc>
          <w:tcPr>
            <w:tcW w:w="2186" w:type="dxa"/>
            <w:noWrap w:val="0"/>
            <w:vAlign w:val="top"/>
          </w:tcPr>
          <w:p w14:paraId="43FE3BF3">
            <w:pPr>
              <w:rPr>
                <w:rFonts w:ascii="Arial"/>
              </w:rPr>
            </w:pPr>
          </w:p>
        </w:tc>
        <w:tc>
          <w:tcPr>
            <w:tcW w:w="2596" w:type="dxa"/>
            <w:noWrap w:val="0"/>
            <w:vAlign w:val="top"/>
          </w:tcPr>
          <w:p w14:paraId="3A413899">
            <w:pPr>
              <w:rPr>
                <w:rFonts w:ascii="Arial"/>
              </w:rPr>
            </w:pPr>
          </w:p>
        </w:tc>
        <w:tc>
          <w:tcPr>
            <w:tcW w:w="2164" w:type="dxa"/>
            <w:noWrap w:val="0"/>
            <w:vAlign w:val="top"/>
          </w:tcPr>
          <w:p w14:paraId="5FCA3779">
            <w:pPr>
              <w:spacing w:before="210" w:line="221" w:lineRule="auto"/>
              <w:ind w:left="457"/>
              <w:rPr>
                <w:rFonts w:ascii="宋体" w:hAnsi="宋体" w:eastAsia="宋体" w:cs="宋体"/>
                <w:szCs w:val="21"/>
              </w:rPr>
            </w:pPr>
          </w:p>
        </w:tc>
      </w:tr>
      <w:tr w14:paraId="38B71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4245A49C">
            <w:pPr>
              <w:spacing w:before="247" w:line="183" w:lineRule="auto"/>
              <w:ind w:left="352" w:leftChars="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530" w:type="dxa"/>
            <w:noWrap w:val="0"/>
            <w:vAlign w:val="top"/>
          </w:tcPr>
          <w:p w14:paraId="237B3B41">
            <w:pPr>
              <w:spacing w:before="211" w:line="221" w:lineRule="auto"/>
              <w:ind w:left="1557" w:leftChars="0"/>
              <w:rPr>
                <w:rFonts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14:paraId="0B0B1421">
            <w:pPr>
              <w:rPr>
                <w:rFonts w:ascii="Arial"/>
              </w:rPr>
            </w:pPr>
          </w:p>
        </w:tc>
        <w:tc>
          <w:tcPr>
            <w:tcW w:w="2186" w:type="dxa"/>
            <w:noWrap w:val="0"/>
            <w:vAlign w:val="top"/>
          </w:tcPr>
          <w:p w14:paraId="16107EAD">
            <w:pPr>
              <w:rPr>
                <w:rFonts w:ascii="Arial"/>
              </w:rPr>
            </w:pPr>
          </w:p>
        </w:tc>
        <w:tc>
          <w:tcPr>
            <w:tcW w:w="2596" w:type="dxa"/>
            <w:noWrap w:val="0"/>
            <w:vAlign w:val="top"/>
          </w:tcPr>
          <w:p w14:paraId="56B16331">
            <w:pPr>
              <w:rPr>
                <w:rFonts w:ascii="Arial"/>
              </w:rPr>
            </w:pPr>
          </w:p>
        </w:tc>
        <w:tc>
          <w:tcPr>
            <w:tcW w:w="2164" w:type="dxa"/>
            <w:noWrap w:val="0"/>
            <w:vAlign w:val="top"/>
          </w:tcPr>
          <w:p w14:paraId="3F016EE7">
            <w:pPr>
              <w:spacing w:before="210" w:line="221" w:lineRule="auto"/>
              <w:ind w:left="456" w:leftChars="0"/>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0FF1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14:paraId="031BAF5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14:paraId="69DC5A79">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A8B1332">
      <w:pPr>
        <w:spacing w:line="172" w:lineRule="exact"/>
      </w:pPr>
    </w:p>
    <w:p w14:paraId="275D698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C3B301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FA458D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8C4C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4536B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E9198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983136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657883F">
      <w:pPr>
        <w:rPr>
          <w:sz w:val="24"/>
          <w:szCs w:val="24"/>
        </w:rPr>
        <w:sectPr>
          <w:footerReference r:id="rId30" w:type="default"/>
          <w:pgSz w:w="16841" w:h="11907"/>
          <w:pgMar w:top="400" w:right="1699" w:bottom="1184" w:left="1481" w:header="0" w:footer="1022" w:gutter="0"/>
          <w:cols w:space="720" w:num="1"/>
        </w:sectPr>
      </w:pPr>
    </w:p>
    <w:p w14:paraId="4BB3FF42">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17"/>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EC60B0A">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42789972">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9F34641">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14:paraId="71228EB8">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6BF4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3FD6C31">
            <w:pPr>
              <w:rPr>
                <w:rFonts w:ascii="Arial"/>
              </w:rPr>
            </w:pPr>
          </w:p>
          <w:p w14:paraId="748F7C9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B46395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BADE542">
            <w:pPr>
              <w:rPr>
                <w:rFonts w:ascii="Arial"/>
              </w:rPr>
            </w:pPr>
          </w:p>
        </w:tc>
        <w:tc>
          <w:tcPr>
            <w:tcW w:w="3362" w:type="dxa"/>
          </w:tcPr>
          <w:p w14:paraId="0CA4BAB2">
            <w:pPr>
              <w:rPr>
                <w:rFonts w:ascii="Arial"/>
              </w:rPr>
            </w:pPr>
          </w:p>
        </w:tc>
      </w:tr>
      <w:tr w14:paraId="7DAE5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64FD64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89BBF0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EC2432">
            <w:pPr>
              <w:rPr>
                <w:rFonts w:ascii="Arial"/>
              </w:rPr>
            </w:pPr>
          </w:p>
        </w:tc>
        <w:tc>
          <w:tcPr>
            <w:tcW w:w="3362" w:type="dxa"/>
          </w:tcPr>
          <w:p w14:paraId="21AF8751">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17"/>
      </w:pPr>
    </w:p>
    <w:p w14:paraId="321614E8">
      <w:pPr>
        <w:pStyle w:val="17"/>
      </w:pPr>
    </w:p>
    <w:p w14:paraId="51A950D6">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eastAsia="宋体" w:cs="宋体"/>
                <w:sz w:val="21"/>
                <w:szCs w:val="21"/>
                <w:highlight w:val="none"/>
                <w:u w:val="single"/>
                <w:lang w:val="en-US" w:eastAsia="zh-CN"/>
              </w:rPr>
              <w:t>高压油泵PTO总成自制项目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6B2B41B0">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高压油泵PTO总成自制项目</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4D307140">
      <w:pPr>
        <w:spacing w:before="75" w:line="227" w:lineRule="auto"/>
        <w:ind w:left="135"/>
        <w:rPr>
          <w:rFonts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高压油泵PTO总成自制项目</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17"/>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高压油泵PTO总成自制项目</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17"/>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63E90585">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cyan"/>
          <w:lang w:val="en-US"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highlight w:val="none"/>
          <w:lang w:val="en-US" w:eastAsia="zh-CN"/>
        </w:rPr>
        <w:t>技术要求承诺书</w:t>
      </w:r>
    </w:p>
    <w:p w14:paraId="3904A8E4">
      <w:pPr>
        <w:spacing w:line="360" w:lineRule="auto"/>
        <w:rPr>
          <w:rFonts w:hint="eastAsia" w:ascii="宋体" w:hAnsi="Calibri" w:eastAsia="宋体" w:cs="Times New Roman"/>
          <w:sz w:val="24"/>
          <w:szCs w:val="20"/>
          <w:highlight w:val="cyan"/>
          <w:u w:val="single"/>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highlight w:val="none"/>
          <w:u w:val="single"/>
          <w:lang w:val="en-US" w:eastAsia="zh-CN"/>
        </w:rPr>
        <w:t>高压油泵PTO总成自制项目</w:t>
      </w:r>
    </w:p>
    <w:p w14:paraId="5103D17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4"/>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2945EE">
      <w:pPr>
        <w:sectPr>
          <w:pgSz w:w="11906" w:h="16838"/>
          <w:pgMar w:top="1587" w:right="1417" w:bottom="1134" w:left="1417" w:header="850" w:footer="992" w:gutter="0"/>
          <w:pgNumType w:fmt="decimal"/>
          <w:cols w:space="0" w:num="1"/>
          <w:titlePg/>
          <w:docGrid w:type="lines" w:linePitch="324" w:charSpace="0"/>
        </w:sectPr>
      </w:pPr>
    </w:p>
    <w:p w14:paraId="00752271">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p>
    <w:p w14:paraId="79B95C4E">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17"/>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17"/>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29DBB90A">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3F913ABC">
      <w:pPr>
        <w:pStyle w:val="17"/>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17"/>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配套能力“供货类别”填“直管单位非生产招标 / 货物 / 工装模具”，</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78CBDB41">
      <w:pPr>
        <w:pStyle w:val="17"/>
        <w:sectPr>
          <w:pgSz w:w="11906" w:h="16838"/>
          <w:pgMar w:top="1588" w:right="1418" w:bottom="1134" w:left="1418" w:header="851" w:footer="992" w:gutter="0"/>
          <w:cols w:space="720" w:num="1"/>
          <w:titlePg/>
          <w:docGrid w:type="lines" w:linePitch="312" w:charSpace="0"/>
        </w:sectPr>
      </w:pPr>
    </w:p>
    <w:p w14:paraId="6FEFF112">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03688730">
      <w:pPr>
        <w:pStyle w:val="17"/>
        <w:rPr>
          <w:rFonts w:hint="eastAsia" w:hAnsi="宋体" w:eastAsia="宋体" w:cs="Times New Roman"/>
          <w:b/>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2806ACEB">
      <w:pPr>
        <w:pStyle w:val="17"/>
        <w:rPr>
          <w:rFonts w:hint="eastAsia" w:hAnsi="宋体" w:eastAsia="宋体" w:cs="Times New Roman"/>
          <w:b/>
          <w:color w:val="000000"/>
          <w:sz w:val="24"/>
          <w:szCs w:val="24"/>
          <w:lang w:val="en-US" w:eastAsia="zh-CN"/>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Microsoft JhengHei Light">
    <w:panose1 w:val="020B0304030504040204"/>
    <w:charset w:val="88"/>
    <w:family w:val="swiss"/>
    <w:pitch w:val="default"/>
    <w:sig w:usb0="8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E4E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2"/>
      <w:jc w:val="center"/>
    </w:pPr>
  </w:p>
  <w:p w14:paraId="7C886FE1">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FA736">
    <w:pPr>
      <w:pStyle w:val="22"/>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8342">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4C81">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044C81">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533BB">
    <w:pPr>
      <w:pStyle w:val="23"/>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 xml:space="preserve">     </w:t>
    </w:r>
    <w:r>
      <w:rPr>
        <w:rFonts w:hint="eastAsia" w:ascii="黑体" w:eastAsia="黑体"/>
        <w:sz w:val="24"/>
        <w:szCs w:val="24"/>
        <w:lang w:val="en-US" w:eastAsia="zh-CN"/>
      </w:rPr>
      <w:t>高压油泵PTO总成自制</w:t>
    </w:r>
    <w:r>
      <w:rPr>
        <w:rFonts w:hint="eastAsia" w:ascii="黑体" w:eastAsia="黑体"/>
        <w:sz w:val="24"/>
        <w:szCs w:val="24"/>
      </w:rPr>
      <w:t>项目技术标书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F595">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3"/>
    </w:pPr>
  </w:p>
  <w:p w14:paraId="073BFA97">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2746C4"/>
    <w:multiLevelType w:val="singleLevel"/>
    <w:tmpl w:val="A02746C4"/>
    <w:lvl w:ilvl="0" w:tentative="0">
      <w:start w:val="4"/>
      <w:numFmt w:val="chineseCounting"/>
      <w:suff w:val="space"/>
      <w:lvlText w:val="第%1部分"/>
      <w:lvlJc w:val="left"/>
      <w:rPr>
        <w:rFonts w:hint="eastAsia"/>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C6AC6029"/>
    <w:multiLevelType w:val="singleLevel"/>
    <w:tmpl w:val="C6AC6029"/>
    <w:lvl w:ilvl="0" w:tentative="0">
      <w:start w:val="1"/>
      <w:numFmt w:val="decimalEnclosedCircleChinese"/>
      <w:suff w:val="space"/>
      <w:lvlText w:val="%1"/>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30136B8"/>
    <w:multiLevelType w:val="singleLevel"/>
    <w:tmpl w:val="330136B8"/>
    <w:lvl w:ilvl="0" w:tentative="0">
      <w:start w:val="3"/>
      <w:numFmt w:val="chineseCounting"/>
      <w:suff w:val="nothing"/>
      <w:lvlText w:val="%1、"/>
      <w:lvlJc w:val="left"/>
      <w:rPr>
        <w:rFonts w:hint="eastAsia"/>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3399611"/>
    <w:multiLevelType w:val="singleLevel"/>
    <w:tmpl w:val="53399611"/>
    <w:lvl w:ilvl="0" w:tentative="0">
      <w:start w:val="1"/>
      <w:numFmt w:val="chineseCounting"/>
      <w:suff w:val="nothing"/>
      <w:lvlText w:val="%1、"/>
      <w:lvlJc w:val="left"/>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
  </w:num>
  <w:num w:numId="3">
    <w:abstractNumId w:val="12"/>
  </w:num>
  <w:num w:numId="4">
    <w:abstractNumId w:val="6"/>
  </w:num>
  <w:num w:numId="5">
    <w:abstractNumId w:val="4"/>
  </w:num>
  <w:num w:numId="6">
    <w:abstractNumId w:val="9"/>
  </w:num>
  <w:num w:numId="7">
    <w:abstractNumId w:val="3"/>
  </w:num>
  <w:num w:numId="8">
    <w:abstractNumId w:val="7"/>
  </w:num>
  <w:num w:numId="9">
    <w:abstractNumId w:val="5"/>
  </w:num>
  <w:num w:numId="10">
    <w:abstractNumId w:val="0"/>
  </w:num>
  <w:num w:numId="11">
    <w:abstractNumId w:val="8"/>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44DD9"/>
    <w:rsid w:val="01453E77"/>
    <w:rsid w:val="014832F2"/>
    <w:rsid w:val="014D51C1"/>
    <w:rsid w:val="01714809"/>
    <w:rsid w:val="01C52478"/>
    <w:rsid w:val="02357F37"/>
    <w:rsid w:val="027408EE"/>
    <w:rsid w:val="02963F39"/>
    <w:rsid w:val="02A81D04"/>
    <w:rsid w:val="02B3095A"/>
    <w:rsid w:val="02BA7274"/>
    <w:rsid w:val="02EE59E6"/>
    <w:rsid w:val="03251978"/>
    <w:rsid w:val="0325718A"/>
    <w:rsid w:val="03A84383"/>
    <w:rsid w:val="041B709A"/>
    <w:rsid w:val="042921B6"/>
    <w:rsid w:val="043342B8"/>
    <w:rsid w:val="043B72BB"/>
    <w:rsid w:val="04461EC1"/>
    <w:rsid w:val="04504B3F"/>
    <w:rsid w:val="04AD02B8"/>
    <w:rsid w:val="04BA6AFF"/>
    <w:rsid w:val="04D31337"/>
    <w:rsid w:val="04DE51C8"/>
    <w:rsid w:val="04DF17D4"/>
    <w:rsid w:val="04EE7F1F"/>
    <w:rsid w:val="053E7F2B"/>
    <w:rsid w:val="05412745"/>
    <w:rsid w:val="05491761"/>
    <w:rsid w:val="05793C8D"/>
    <w:rsid w:val="05A351AD"/>
    <w:rsid w:val="05F9748A"/>
    <w:rsid w:val="06266F78"/>
    <w:rsid w:val="063E7B7A"/>
    <w:rsid w:val="06582413"/>
    <w:rsid w:val="06682E69"/>
    <w:rsid w:val="067E33B8"/>
    <w:rsid w:val="06B96433"/>
    <w:rsid w:val="06E82FCB"/>
    <w:rsid w:val="06F34B95"/>
    <w:rsid w:val="07571DAC"/>
    <w:rsid w:val="0781507A"/>
    <w:rsid w:val="07867620"/>
    <w:rsid w:val="08916B94"/>
    <w:rsid w:val="08DD171B"/>
    <w:rsid w:val="08E64121"/>
    <w:rsid w:val="09390B2F"/>
    <w:rsid w:val="0942017F"/>
    <w:rsid w:val="09BA1FBB"/>
    <w:rsid w:val="09CB139F"/>
    <w:rsid w:val="0A0106F5"/>
    <w:rsid w:val="0A112AB7"/>
    <w:rsid w:val="0A48788A"/>
    <w:rsid w:val="0A4E5482"/>
    <w:rsid w:val="0AA70866"/>
    <w:rsid w:val="0AAA504A"/>
    <w:rsid w:val="0AD71BC7"/>
    <w:rsid w:val="0AF420EB"/>
    <w:rsid w:val="0B2B2BF5"/>
    <w:rsid w:val="0B2F3908"/>
    <w:rsid w:val="0B3F6206"/>
    <w:rsid w:val="0BAB6B6A"/>
    <w:rsid w:val="0BDE715C"/>
    <w:rsid w:val="0BE12DB6"/>
    <w:rsid w:val="0BFC6504"/>
    <w:rsid w:val="0C345AD1"/>
    <w:rsid w:val="0C360B29"/>
    <w:rsid w:val="0C626CE4"/>
    <w:rsid w:val="0C7B29E0"/>
    <w:rsid w:val="0D030966"/>
    <w:rsid w:val="0D0C2B7B"/>
    <w:rsid w:val="0D5D448F"/>
    <w:rsid w:val="0D865199"/>
    <w:rsid w:val="0D9308F8"/>
    <w:rsid w:val="0DE76C3D"/>
    <w:rsid w:val="0E1A1D85"/>
    <w:rsid w:val="0E750568"/>
    <w:rsid w:val="0E8A65BB"/>
    <w:rsid w:val="0E9C3C97"/>
    <w:rsid w:val="0F2D7A80"/>
    <w:rsid w:val="0F4277E5"/>
    <w:rsid w:val="0FA75561"/>
    <w:rsid w:val="0FB83603"/>
    <w:rsid w:val="0FCA77F1"/>
    <w:rsid w:val="0FCD5DCC"/>
    <w:rsid w:val="10043197"/>
    <w:rsid w:val="10270545"/>
    <w:rsid w:val="103409DF"/>
    <w:rsid w:val="108A1D4B"/>
    <w:rsid w:val="10A10111"/>
    <w:rsid w:val="10BE093E"/>
    <w:rsid w:val="10E20BD8"/>
    <w:rsid w:val="10E31DED"/>
    <w:rsid w:val="11146F5F"/>
    <w:rsid w:val="111B0FE9"/>
    <w:rsid w:val="112C77F4"/>
    <w:rsid w:val="114755AB"/>
    <w:rsid w:val="115F67A8"/>
    <w:rsid w:val="117619C8"/>
    <w:rsid w:val="117F4F8B"/>
    <w:rsid w:val="119A7465"/>
    <w:rsid w:val="11A833CB"/>
    <w:rsid w:val="11C07DA5"/>
    <w:rsid w:val="11C2491E"/>
    <w:rsid w:val="11F36B75"/>
    <w:rsid w:val="12491386"/>
    <w:rsid w:val="127F48AC"/>
    <w:rsid w:val="12A54313"/>
    <w:rsid w:val="12E60579"/>
    <w:rsid w:val="12EB0F02"/>
    <w:rsid w:val="13695B36"/>
    <w:rsid w:val="1372609F"/>
    <w:rsid w:val="13D73572"/>
    <w:rsid w:val="14504752"/>
    <w:rsid w:val="145A6A37"/>
    <w:rsid w:val="1467440F"/>
    <w:rsid w:val="147D6EA6"/>
    <w:rsid w:val="15400323"/>
    <w:rsid w:val="15433A9B"/>
    <w:rsid w:val="15FC2F04"/>
    <w:rsid w:val="16181FAC"/>
    <w:rsid w:val="167553FD"/>
    <w:rsid w:val="168756A0"/>
    <w:rsid w:val="16F94849"/>
    <w:rsid w:val="17045E51"/>
    <w:rsid w:val="172011D4"/>
    <w:rsid w:val="17252C3B"/>
    <w:rsid w:val="173C25C7"/>
    <w:rsid w:val="173F0A2E"/>
    <w:rsid w:val="1758252B"/>
    <w:rsid w:val="17770BC2"/>
    <w:rsid w:val="177D0C1A"/>
    <w:rsid w:val="17860E2F"/>
    <w:rsid w:val="17A119AA"/>
    <w:rsid w:val="17C90AA4"/>
    <w:rsid w:val="18586F2B"/>
    <w:rsid w:val="19650358"/>
    <w:rsid w:val="19A766B9"/>
    <w:rsid w:val="19CE76BA"/>
    <w:rsid w:val="19F26070"/>
    <w:rsid w:val="19F97C8B"/>
    <w:rsid w:val="1A1523CE"/>
    <w:rsid w:val="1AA730BD"/>
    <w:rsid w:val="1ADF38C8"/>
    <w:rsid w:val="1B333D5D"/>
    <w:rsid w:val="1B587618"/>
    <w:rsid w:val="1B5F19C7"/>
    <w:rsid w:val="1BA333BA"/>
    <w:rsid w:val="1C1C709B"/>
    <w:rsid w:val="1C4F6795"/>
    <w:rsid w:val="1C9F6814"/>
    <w:rsid w:val="1CFC59F9"/>
    <w:rsid w:val="1D5C514E"/>
    <w:rsid w:val="1D865D14"/>
    <w:rsid w:val="1D8705EC"/>
    <w:rsid w:val="1DEC0E7D"/>
    <w:rsid w:val="1E391DB3"/>
    <w:rsid w:val="1E43150B"/>
    <w:rsid w:val="1EA93E80"/>
    <w:rsid w:val="1ED33FB6"/>
    <w:rsid w:val="1EE81332"/>
    <w:rsid w:val="1F1C3BAF"/>
    <w:rsid w:val="1F32415A"/>
    <w:rsid w:val="1F542F9A"/>
    <w:rsid w:val="1F702632"/>
    <w:rsid w:val="1F7E2174"/>
    <w:rsid w:val="1FA66A00"/>
    <w:rsid w:val="1FAA11BB"/>
    <w:rsid w:val="1FB64E98"/>
    <w:rsid w:val="1FF73CD4"/>
    <w:rsid w:val="20107567"/>
    <w:rsid w:val="205567CA"/>
    <w:rsid w:val="20AB56C6"/>
    <w:rsid w:val="21547789"/>
    <w:rsid w:val="2176507C"/>
    <w:rsid w:val="21815F4B"/>
    <w:rsid w:val="21BE35AF"/>
    <w:rsid w:val="21C11174"/>
    <w:rsid w:val="21CD5F71"/>
    <w:rsid w:val="22244B28"/>
    <w:rsid w:val="22467FD4"/>
    <w:rsid w:val="229451FD"/>
    <w:rsid w:val="22A12DB6"/>
    <w:rsid w:val="22E53A70"/>
    <w:rsid w:val="236356D1"/>
    <w:rsid w:val="23A91C83"/>
    <w:rsid w:val="23C962E8"/>
    <w:rsid w:val="247D6439"/>
    <w:rsid w:val="247E4FED"/>
    <w:rsid w:val="24AD78E0"/>
    <w:rsid w:val="24B30BE8"/>
    <w:rsid w:val="24D345D7"/>
    <w:rsid w:val="24E34060"/>
    <w:rsid w:val="252C4420"/>
    <w:rsid w:val="253A0491"/>
    <w:rsid w:val="254E0478"/>
    <w:rsid w:val="25E036B2"/>
    <w:rsid w:val="25E9082A"/>
    <w:rsid w:val="25F42473"/>
    <w:rsid w:val="269C17B8"/>
    <w:rsid w:val="269C3827"/>
    <w:rsid w:val="26AF2D79"/>
    <w:rsid w:val="26B34B91"/>
    <w:rsid w:val="270D66E8"/>
    <w:rsid w:val="27514612"/>
    <w:rsid w:val="278B0DAB"/>
    <w:rsid w:val="278D3850"/>
    <w:rsid w:val="279C6B0E"/>
    <w:rsid w:val="27A017DD"/>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0E120D"/>
    <w:rsid w:val="2A1C5DA0"/>
    <w:rsid w:val="2A200D39"/>
    <w:rsid w:val="2A507EFF"/>
    <w:rsid w:val="2AB92B7C"/>
    <w:rsid w:val="2ADC05A4"/>
    <w:rsid w:val="2AEF2177"/>
    <w:rsid w:val="2B073965"/>
    <w:rsid w:val="2B161149"/>
    <w:rsid w:val="2B6F0D7F"/>
    <w:rsid w:val="2B856638"/>
    <w:rsid w:val="2B8716BD"/>
    <w:rsid w:val="2B8A1EA0"/>
    <w:rsid w:val="2B8B76FF"/>
    <w:rsid w:val="2BD5034F"/>
    <w:rsid w:val="2CE101E6"/>
    <w:rsid w:val="2D025012"/>
    <w:rsid w:val="2D4178F0"/>
    <w:rsid w:val="2DAE631A"/>
    <w:rsid w:val="2DD877E0"/>
    <w:rsid w:val="2DE616C9"/>
    <w:rsid w:val="2DFC2451"/>
    <w:rsid w:val="2E3422F8"/>
    <w:rsid w:val="2E5D3BD9"/>
    <w:rsid w:val="2E6E566D"/>
    <w:rsid w:val="2E7F188E"/>
    <w:rsid w:val="2EBC0905"/>
    <w:rsid w:val="2EC73739"/>
    <w:rsid w:val="2EFB1B0E"/>
    <w:rsid w:val="2F0D5C9B"/>
    <w:rsid w:val="2F5C684F"/>
    <w:rsid w:val="2F63756E"/>
    <w:rsid w:val="2FED6C4D"/>
    <w:rsid w:val="30444D13"/>
    <w:rsid w:val="307610EA"/>
    <w:rsid w:val="307776D1"/>
    <w:rsid w:val="30841D1E"/>
    <w:rsid w:val="30862574"/>
    <w:rsid w:val="30B631E1"/>
    <w:rsid w:val="30ED7159"/>
    <w:rsid w:val="311933AA"/>
    <w:rsid w:val="317D15BB"/>
    <w:rsid w:val="31C825FC"/>
    <w:rsid w:val="31D07E6C"/>
    <w:rsid w:val="31F6203D"/>
    <w:rsid w:val="323F65DA"/>
    <w:rsid w:val="32412074"/>
    <w:rsid w:val="325925CC"/>
    <w:rsid w:val="327C2FDC"/>
    <w:rsid w:val="32A43435"/>
    <w:rsid w:val="32DE0199"/>
    <w:rsid w:val="33124E6A"/>
    <w:rsid w:val="333C2963"/>
    <w:rsid w:val="335B2774"/>
    <w:rsid w:val="33A4642E"/>
    <w:rsid w:val="33D4039C"/>
    <w:rsid w:val="33D47E05"/>
    <w:rsid w:val="3413677D"/>
    <w:rsid w:val="342B544B"/>
    <w:rsid w:val="345E036E"/>
    <w:rsid w:val="348731B2"/>
    <w:rsid w:val="34A5124E"/>
    <w:rsid w:val="34C47852"/>
    <w:rsid w:val="34DE1E4F"/>
    <w:rsid w:val="34F07DB1"/>
    <w:rsid w:val="35092435"/>
    <w:rsid w:val="355F614C"/>
    <w:rsid w:val="359009FB"/>
    <w:rsid w:val="35D354B8"/>
    <w:rsid w:val="35D4025C"/>
    <w:rsid w:val="362666BC"/>
    <w:rsid w:val="367774C5"/>
    <w:rsid w:val="368A6B11"/>
    <w:rsid w:val="37085B1F"/>
    <w:rsid w:val="372E04CB"/>
    <w:rsid w:val="37C8447C"/>
    <w:rsid w:val="37D42E21"/>
    <w:rsid w:val="38353194"/>
    <w:rsid w:val="38891F93"/>
    <w:rsid w:val="38E070F2"/>
    <w:rsid w:val="390D33AB"/>
    <w:rsid w:val="391E6D06"/>
    <w:rsid w:val="39AD3929"/>
    <w:rsid w:val="3A074847"/>
    <w:rsid w:val="3A830B2E"/>
    <w:rsid w:val="3AA90FE6"/>
    <w:rsid w:val="3AA9318F"/>
    <w:rsid w:val="3AB62DA0"/>
    <w:rsid w:val="3ACF7DBC"/>
    <w:rsid w:val="3B5E2A01"/>
    <w:rsid w:val="3B69577B"/>
    <w:rsid w:val="3B702D85"/>
    <w:rsid w:val="3B7D3FD5"/>
    <w:rsid w:val="3B823DDF"/>
    <w:rsid w:val="3BBD3BCC"/>
    <w:rsid w:val="3BD827B4"/>
    <w:rsid w:val="3C237ED3"/>
    <w:rsid w:val="3C460D90"/>
    <w:rsid w:val="3C4D2D59"/>
    <w:rsid w:val="3CAA596A"/>
    <w:rsid w:val="3CAF1D22"/>
    <w:rsid w:val="3CB13731"/>
    <w:rsid w:val="3CB1587B"/>
    <w:rsid w:val="3CB735F2"/>
    <w:rsid w:val="3D186684"/>
    <w:rsid w:val="3D363C36"/>
    <w:rsid w:val="3D8B2178"/>
    <w:rsid w:val="3DB34909"/>
    <w:rsid w:val="3DCC459A"/>
    <w:rsid w:val="3DD115F5"/>
    <w:rsid w:val="3DE435F0"/>
    <w:rsid w:val="3DE5122C"/>
    <w:rsid w:val="3DF37E53"/>
    <w:rsid w:val="3E281D66"/>
    <w:rsid w:val="3ED26DE9"/>
    <w:rsid w:val="3EED17D0"/>
    <w:rsid w:val="3F0C0304"/>
    <w:rsid w:val="3F430395"/>
    <w:rsid w:val="3F774839"/>
    <w:rsid w:val="3FEC147E"/>
    <w:rsid w:val="402603EF"/>
    <w:rsid w:val="40376375"/>
    <w:rsid w:val="40632A1B"/>
    <w:rsid w:val="412732B7"/>
    <w:rsid w:val="4127791F"/>
    <w:rsid w:val="41281794"/>
    <w:rsid w:val="413C1FDF"/>
    <w:rsid w:val="41806A69"/>
    <w:rsid w:val="41B0259C"/>
    <w:rsid w:val="41BC6F1C"/>
    <w:rsid w:val="41EF2363"/>
    <w:rsid w:val="41F77860"/>
    <w:rsid w:val="420E6F2F"/>
    <w:rsid w:val="424A4B98"/>
    <w:rsid w:val="42581D3A"/>
    <w:rsid w:val="42784CF1"/>
    <w:rsid w:val="42AB29D0"/>
    <w:rsid w:val="42ED2EA4"/>
    <w:rsid w:val="42F1406D"/>
    <w:rsid w:val="42F6649D"/>
    <w:rsid w:val="42FE0080"/>
    <w:rsid w:val="43315D2E"/>
    <w:rsid w:val="43670C99"/>
    <w:rsid w:val="43824A1C"/>
    <w:rsid w:val="43D110E1"/>
    <w:rsid w:val="43DF072A"/>
    <w:rsid w:val="43E873C9"/>
    <w:rsid w:val="444C1F91"/>
    <w:rsid w:val="44905B1F"/>
    <w:rsid w:val="45141C49"/>
    <w:rsid w:val="452847AC"/>
    <w:rsid w:val="45316885"/>
    <w:rsid w:val="45334280"/>
    <w:rsid w:val="45A95EE9"/>
    <w:rsid w:val="45FB0F21"/>
    <w:rsid w:val="46167166"/>
    <w:rsid w:val="4636719A"/>
    <w:rsid w:val="47200EE3"/>
    <w:rsid w:val="47435AC2"/>
    <w:rsid w:val="47544B78"/>
    <w:rsid w:val="47587AF7"/>
    <w:rsid w:val="476F0470"/>
    <w:rsid w:val="47745A86"/>
    <w:rsid w:val="47E239AC"/>
    <w:rsid w:val="480F4B73"/>
    <w:rsid w:val="487974BD"/>
    <w:rsid w:val="48DB38E3"/>
    <w:rsid w:val="49001B5E"/>
    <w:rsid w:val="49376DB0"/>
    <w:rsid w:val="496B2EB9"/>
    <w:rsid w:val="49804BB7"/>
    <w:rsid w:val="49826DCB"/>
    <w:rsid w:val="499013E7"/>
    <w:rsid w:val="49C8088A"/>
    <w:rsid w:val="4A0F6D68"/>
    <w:rsid w:val="4A301C93"/>
    <w:rsid w:val="4A3302AB"/>
    <w:rsid w:val="4A572A17"/>
    <w:rsid w:val="4A6F2535"/>
    <w:rsid w:val="4AC85D49"/>
    <w:rsid w:val="4AE308A9"/>
    <w:rsid w:val="4AF41760"/>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BD7301"/>
    <w:rsid w:val="4DC000E1"/>
    <w:rsid w:val="4DD7034C"/>
    <w:rsid w:val="4DE312CB"/>
    <w:rsid w:val="4DF5318E"/>
    <w:rsid w:val="4E1F4862"/>
    <w:rsid w:val="4E2E4393"/>
    <w:rsid w:val="4E535EF2"/>
    <w:rsid w:val="4E546612"/>
    <w:rsid w:val="4F08773C"/>
    <w:rsid w:val="4F31409F"/>
    <w:rsid w:val="4F5E670E"/>
    <w:rsid w:val="4F846A83"/>
    <w:rsid w:val="4FDB06A0"/>
    <w:rsid w:val="50070E2C"/>
    <w:rsid w:val="501112F3"/>
    <w:rsid w:val="504B57F2"/>
    <w:rsid w:val="504D0B67"/>
    <w:rsid w:val="50850D04"/>
    <w:rsid w:val="50853693"/>
    <w:rsid w:val="50C5433A"/>
    <w:rsid w:val="50C62BC7"/>
    <w:rsid w:val="50F72A66"/>
    <w:rsid w:val="5123368C"/>
    <w:rsid w:val="5130747C"/>
    <w:rsid w:val="515C765A"/>
    <w:rsid w:val="518B0A10"/>
    <w:rsid w:val="51905BB3"/>
    <w:rsid w:val="51946FCB"/>
    <w:rsid w:val="51DD796B"/>
    <w:rsid w:val="51DF373B"/>
    <w:rsid w:val="52EF4CB5"/>
    <w:rsid w:val="52F959F0"/>
    <w:rsid w:val="5302488E"/>
    <w:rsid w:val="53136173"/>
    <w:rsid w:val="531445D8"/>
    <w:rsid w:val="534B12B7"/>
    <w:rsid w:val="535E75EB"/>
    <w:rsid w:val="539A4AC7"/>
    <w:rsid w:val="53DE1623"/>
    <w:rsid w:val="541A51E1"/>
    <w:rsid w:val="542631B6"/>
    <w:rsid w:val="543D6020"/>
    <w:rsid w:val="5447483C"/>
    <w:rsid w:val="54862A07"/>
    <w:rsid w:val="54942CAE"/>
    <w:rsid w:val="5495528E"/>
    <w:rsid w:val="54A61722"/>
    <w:rsid w:val="54B31FAF"/>
    <w:rsid w:val="54FB10D7"/>
    <w:rsid w:val="55326D63"/>
    <w:rsid w:val="555D1A10"/>
    <w:rsid w:val="55C300FC"/>
    <w:rsid w:val="55D923E6"/>
    <w:rsid w:val="55E262B1"/>
    <w:rsid w:val="56AC4A78"/>
    <w:rsid w:val="56DB16B9"/>
    <w:rsid w:val="570109B9"/>
    <w:rsid w:val="577A3463"/>
    <w:rsid w:val="57F967AD"/>
    <w:rsid w:val="58052975"/>
    <w:rsid w:val="58063909"/>
    <w:rsid w:val="582D15F9"/>
    <w:rsid w:val="5833468C"/>
    <w:rsid w:val="584D1A65"/>
    <w:rsid w:val="584F5C44"/>
    <w:rsid w:val="58E525CA"/>
    <w:rsid w:val="58EE7372"/>
    <w:rsid w:val="590D7AE9"/>
    <w:rsid w:val="593D045A"/>
    <w:rsid w:val="5960739E"/>
    <w:rsid w:val="59896D0A"/>
    <w:rsid w:val="59B72684"/>
    <w:rsid w:val="5A4711EE"/>
    <w:rsid w:val="5A8042EB"/>
    <w:rsid w:val="5A913507"/>
    <w:rsid w:val="5A9304C2"/>
    <w:rsid w:val="5A9579AE"/>
    <w:rsid w:val="5AC468CD"/>
    <w:rsid w:val="5B342B9A"/>
    <w:rsid w:val="5B5953B0"/>
    <w:rsid w:val="5B630802"/>
    <w:rsid w:val="5B807F68"/>
    <w:rsid w:val="5BA72CE5"/>
    <w:rsid w:val="5BDF6C13"/>
    <w:rsid w:val="5C034D53"/>
    <w:rsid w:val="5C0A43A9"/>
    <w:rsid w:val="5C78796F"/>
    <w:rsid w:val="5CDF79EE"/>
    <w:rsid w:val="5CFA4828"/>
    <w:rsid w:val="5D394737"/>
    <w:rsid w:val="5D722852"/>
    <w:rsid w:val="5DA13E95"/>
    <w:rsid w:val="5DF60588"/>
    <w:rsid w:val="5E025830"/>
    <w:rsid w:val="5E1D6F56"/>
    <w:rsid w:val="5E385608"/>
    <w:rsid w:val="5E52187F"/>
    <w:rsid w:val="5E6567AD"/>
    <w:rsid w:val="5E6A13CD"/>
    <w:rsid w:val="5E705D15"/>
    <w:rsid w:val="5E93326C"/>
    <w:rsid w:val="5E9F1A7A"/>
    <w:rsid w:val="5EAF3818"/>
    <w:rsid w:val="5ED8390F"/>
    <w:rsid w:val="5EF024CA"/>
    <w:rsid w:val="5EF86DE5"/>
    <w:rsid w:val="5EFB4BA4"/>
    <w:rsid w:val="5F025452"/>
    <w:rsid w:val="5F5F46B5"/>
    <w:rsid w:val="5FB25360"/>
    <w:rsid w:val="5FBA3CC0"/>
    <w:rsid w:val="5FBE258A"/>
    <w:rsid w:val="5FD90D61"/>
    <w:rsid w:val="5FE54FEA"/>
    <w:rsid w:val="60177697"/>
    <w:rsid w:val="602329DB"/>
    <w:rsid w:val="607777D6"/>
    <w:rsid w:val="60BC76A1"/>
    <w:rsid w:val="610B7637"/>
    <w:rsid w:val="610E07BF"/>
    <w:rsid w:val="612279BA"/>
    <w:rsid w:val="615F5624"/>
    <w:rsid w:val="61D215CF"/>
    <w:rsid w:val="61D73926"/>
    <w:rsid w:val="625C563D"/>
    <w:rsid w:val="626A1704"/>
    <w:rsid w:val="62780D32"/>
    <w:rsid w:val="627921C2"/>
    <w:rsid w:val="62994825"/>
    <w:rsid w:val="62B362C8"/>
    <w:rsid w:val="62C1330E"/>
    <w:rsid w:val="6342085E"/>
    <w:rsid w:val="636F415C"/>
    <w:rsid w:val="6372336A"/>
    <w:rsid w:val="642F7C79"/>
    <w:rsid w:val="648B3FB8"/>
    <w:rsid w:val="64917820"/>
    <w:rsid w:val="64AA1CC5"/>
    <w:rsid w:val="64D771FD"/>
    <w:rsid w:val="6528341F"/>
    <w:rsid w:val="65462CCA"/>
    <w:rsid w:val="656B2909"/>
    <w:rsid w:val="657D431F"/>
    <w:rsid w:val="65970AF2"/>
    <w:rsid w:val="65A3045D"/>
    <w:rsid w:val="65D97752"/>
    <w:rsid w:val="65E25E59"/>
    <w:rsid w:val="66307F76"/>
    <w:rsid w:val="66580EAF"/>
    <w:rsid w:val="66694D0D"/>
    <w:rsid w:val="667B4472"/>
    <w:rsid w:val="66A5036A"/>
    <w:rsid w:val="66F041A8"/>
    <w:rsid w:val="6721178A"/>
    <w:rsid w:val="6739399A"/>
    <w:rsid w:val="673F39DE"/>
    <w:rsid w:val="674C5D22"/>
    <w:rsid w:val="67663AF8"/>
    <w:rsid w:val="67762CFD"/>
    <w:rsid w:val="677A678D"/>
    <w:rsid w:val="67B77327"/>
    <w:rsid w:val="67BF46A4"/>
    <w:rsid w:val="67D30B32"/>
    <w:rsid w:val="68011379"/>
    <w:rsid w:val="68252C37"/>
    <w:rsid w:val="683338F6"/>
    <w:rsid w:val="685E3EBD"/>
    <w:rsid w:val="68646FFA"/>
    <w:rsid w:val="68817BAC"/>
    <w:rsid w:val="689A5E59"/>
    <w:rsid w:val="68A94E70"/>
    <w:rsid w:val="68EE72DF"/>
    <w:rsid w:val="68FE744E"/>
    <w:rsid w:val="690B4C92"/>
    <w:rsid w:val="69485FEA"/>
    <w:rsid w:val="69677DC0"/>
    <w:rsid w:val="69937EC7"/>
    <w:rsid w:val="69D64558"/>
    <w:rsid w:val="6A042548"/>
    <w:rsid w:val="6A471EFD"/>
    <w:rsid w:val="6A90057A"/>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516E2F"/>
    <w:rsid w:val="6F651FD5"/>
    <w:rsid w:val="6F7F7CB0"/>
    <w:rsid w:val="6FE0165C"/>
    <w:rsid w:val="6FE10C44"/>
    <w:rsid w:val="6FE32EFA"/>
    <w:rsid w:val="70087F86"/>
    <w:rsid w:val="70222744"/>
    <w:rsid w:val="706D25DF"/>
    <w:rsid w:val="706D2B21"/>
    <w:rsid w:val="707B1384"/>
    <w:rsid w:val="70857A34"/>
    <w:rsid w:val="70985D3C"/>
    <w:rsid w:val="70D80585"/>
    <w:rsid w:val="70ED2282"/>
    <w:rsid w:val="70F81685"/>
    <w:rsid w:val="71047C73"/>
    <w:rsid w:val="7109004F"/>
    <w:rsid w:val="71103167"/>
    <w:rsid w:val="7121017E"/>
    <w:rsid w:val="712E56F7"/>
    <w:rsid w:val="71542301"/>
    <w:rsid w:val="71691ABB"/>
    <w:rsid w:val="71AE1AEA"/>
    <w:rsid w:val="71CF3B6C"/>
    <w:rsid w:val="71F80F33"/>
    <w:rsid w:val="722922C6"/>
    <w:rsid w:val="727176A7"/>
    <w:rsid w:val="72785B7B"/>
    <w:rsid w:val="72AC2584"/>
    <w:rsid w:val="72CB03A1"/>
    <w:rsid w:val="72F336D6"/>
    <w:rsid w:val="732B7092"/>
    <w:rsid w:val="732D4B5D"/>
    <w:rsid w:val="73393C88"/>
    <w:rsid w:val="7362513F"/>
    <w:rsid w:val="73771D49"/>
    <w:rsid w:val="73A1354E"/>
    <w:rsid w:val="74006876"/>
    <w:rsid w:val="74116287"/>
    <w:rsid w:val="742222D0"/>
    <w:rsid w:val="747F44F6"/>
    <w:rsid w:val="74A11E7D"/>
    <w:rsid w:val="752B3379"/>
    <w:rsid w:val="75590B0A"/>
    <w:rsid w:val="7582279F"/>
    <w:rsid w:val="75843EB5"/>
    <w:rsid w:val="75BB71AF"/>
    <w:rsid w:val="75F01962"/>
    <w:rsid w:val="760E19DF"/>
    <w:rsid w:val="764E52E0"/>
    <w:rsid w:val="764F3097"/>
    <w:rsid w:val="76557F3E"/>
    <w:rsid w:val="76676A53"/>
    <w:rsid w:val="768C42EB"/>
    <w:rsid w:val="76A3294D"/>
    <w:rsid w:val="76B620A1"/>
    <w:rsid w:val="76F20814"/>
    <w:rsid w:val="77462524"/>
    <w:rsid w:val="776112D4"/>
    <w:rsid w:val="779A6594"/>
    <w:rsid w:val="77A21064"/>
    <w:rsid w:val="77BA4E88"/>
    <w:rsid w:val="77E34EB2"/>
    <w:rsid w:val="78071E5D"/>
    <w:rsid w:val="781564B8"/>
    <w:rsid w:val="781B2E5F"/>
    <w:rsid w:val="78224ACF"/>
    <w:rsid w:val="78281497"/>
    <w:rsid w:val="78CD6DCC"/>
    <w:rsid w:val="78D07CAF"/>
    <w:rsid w:val="78DE12D7"/>
    <w:rsid w:val="78FD0B56"/>
    <w:rsid w:val="79210683"/>
    <w:rsid w:val="796B468C"/>
    <w:rsid w:val="799C3465"/>
    <w:rsid w:val="79B14EC4"/>
    <w:rsid w:val="7A2A6B4A"/>
    <w:rsid w:val="7A37456E"/>
    <w:rsid w:val="7A681070"/>
    <w:rsid w:val="7A860C7C"/>
    <w:rsid w:val="7A895529"/>
    <w:rsid w:val="7AB879FE"/>
    <w:rsid w:val="7AE62031"/>
    <w:rsid w:val="7B072683"/>
    <w:rsid w:val="7B252618"/>
    <w:rsid w:val="7B272834"/>
    <w:rsid w:val="7B3264DD"/>
    <w:rsid w:val="7B81188A"/>
    <w:rsid w:val="7B9E2902"/>
    <w:rsid w:val="7BC854E2"/>
    <w:rsid w:val="7C0562EC"/>
    <w:rsid w:val="7C067A45"/>
    <w:rsid w:val="7C27683F"/>
    <w:rsid w:val="7CB14B4D"/>
    <w:rsid w:val="7CF26969"/>
    <w:rsid w:val="7D25523C"/>
    <w:rsid w:val="7D5176F5"/>
    <w:rsid w:val="7DB23041"/>
    <w:rsid w:val="7E253FEC"/>
    <w:rsid w:val="7E5C45A3"/>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8"/>
    <w:qFormat/>
    <w:uiPriority w:val="0"/>
    <w:rPr>
      <w:rFonts w:hint="default" w:ascii="Times New Roman" w:hAnsi="Times New Roman" w:cs="Times New Roman"/>
      <w:color w:val="000000"/>
      <w:sz w:val="20"/>
      <w:szCs w:val="20"/>
      <w:u w:val="none"/>
    </w:rPr>
  </w:style>
  <w:style w:type="character" w:customStyle="1" w:styleId="137">
    <w:name w:val="font51"/>
    <w:basedOn w:val="38"/>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7971</Words>
  <Characters>8445</Characters>
  <Lines>1</Lines>
  <Paragraphs>1</Paragraphs>
  <TotalTime>11</TotalTime>
  <ScaleCrop>false</ScaleCrop>
  <LinksUpToDate>false</LinksUpToDate>
  <CharactersWithSpaces>8738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为何安好?</cp:lastModifiedBy>
  <dcterms:modified xsi:type="dcterms:W3CDTF">2026-06-15T07:49:16Z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21D25C735A5D4C8F9F0A5EE27741C13A_13</vt:lpwstr>
  </property>
  <property fmtid="{D5CDD505-2E9C-101B-9397-08002B2CF9AE}" pid="4" name="KSOTemplateDocerSaveRecord">
    <vt:lpwstr>eyJoZGlkIjoiMjhhZjU5YWRjN2Q2MDg0YTRjYTZmZjc2ZTdjOTc2MGYiLCJ1c2VySWQiOiIyMzUyNTA0MTIifQ==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