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HTTPS加密流量检测设备建设项目</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p>
    <w:p>
      <w:pPr>
        <w:pStyle w:val="20"/>
      </w:pPr>
    </w:p>
    <w:p>
      <w:pPr>
        <w:pStyle w:val="20"/>
      </w:pPr>
    </w:p>
    <w:p>
      <w:pPr>
        <w:pStyle w:val="20"/>
      </w:pPr>
    </w:p>
    <w:p>
      <w:pPr>
        <w:pStyle w:val="20"/>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20"/>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7"/>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7"/>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7"/>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7"/>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7"/>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65</w:t>
          </w:r>
        </w:p>
        <w:p>
          <w:pPr>
            <w:pStyle w:val="27"/>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83</w:t>
          </w:r>
        </w:p>
        <w:p>
          <w:pPr>
            <w:pStyle w:val="20"/>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0"/>
        <w:numPr>
          <w:ilvl w:val="0"/>
          <w:numId w:val="6"/>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0"/>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2"/>
                <w:rFonts w:hint="eastAsia"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u w:val="single"/>
              </w:rPr>
              <w:t>HTTPS加密流量检测设备建设项目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采购形式编号：FSCZB2025100150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招标内容：HTTPS加密流量检测设备建设项目</w:t>
            </w:r>
          </w:p>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分投分中：不允许。</w:t>
            </w:r>
          </w:p>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建设地点：数智化转型发展部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pPr>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rPr>
              <w:t>商务联系人：</w:t>
            </w:r>
            <w:r>
              <w:rPr>
                <w:rFonts w:hint="eastAsia" w:ascii="宋体" w:hAnsi="宋体" w:eastAsia="宋体" w:cs="宋体"/>
                <w:b/>
                <w:bCs/>
                <w:sz w:val="24"/>
                <w:szCs w:val="24"/>
                <w:lang w:val="en-US" w:eastAsia="zh-CN"/>
              </w:rPr>
              <w:t>赵力</w:t>
            </w:r>
          </w:p>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电话：</w:t>
            </w:r>
            <w:r>
              <w:rPr>
                <w:rFonts w:hint="eastAsia" w:ascii="宋体" w:hAnsi="宋体" w:eastAsia="宋体" w:cs="宋体"/>
                <w:b/>
                <w:bCs/>
                <w:sz w:val="24"/>
                <w:szCs w:val="24"/>
                <w:lang w:val="en-US" w:eastAsia="zh-CN"/>
              </w:rPr>
              <w:t>17860606595</w:t>
            </w:r>
          </w:p>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邮箱</w:t>
            </w:r>
            <w:r>
              <w:rPr>
                <w:rFonts w:hint="eastAsia" w:ascii="宋体" w:hAnsi="宋体" w:eastAsia="宋体" w:cs="宋体"/>
                <w:b/>
                <w:bCs/>
                <w:sz w:val="24"/>
                <w:szCs w:val="24"/>
              </w:rPr>
              <w:t>：</w:t>
            </w:r>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HYPERLINK "mailto:zhaoli@sinotruk.com"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zhaoli@sinotruk.com</w:t>
            </w:r>
            <w:r>
              <w:rPr>
                <w:rFonts w:hint="eastAsia" w:ascii="宋体" w:hAnsi="宋体" w:eastAsia="宋体" w:cs="宋体"/>
                <w:b/>
                <w:bCs/>
                <w:sz w:val="24"/>
                <w:szCs w:val="24"/>
              </w:rPr>
              <w:fldChar w:fldCharType="end"/>
            </w:r>
          </w:p>
          <w:p>
            <w:pPr>
              <w:ind w:firstLine="482" w:firstLineChars="200"/>
              <w:rPr>
                <w:rFonts w:hint="eastAsia" w:ascii="宋体" w:hAnsi="宋体" w:eastAsia="宋体" w:cs="宋体"/>
                <w:sz w:val="24"/>
                <w:szCs w:val="24"/>
                <w:lang w:val="en-US" w:eastAsia="zh-CN"/>
              </w:rPr>
            </w:pPr>
            <w:r>
              <w:rPr>
                <w:rFonts w:hint="eastAsia" w:ascii="宋体" w:hAnsi="宋体" w:eastAsia="宋体" w:cs="宋体"/>
                <w:b/>
                <w:bCs/>
                <w:sz w:val="24"/>
                <w:szCs w:val="24"/>
              </w:rPr>
              <w:t>技术联系人：</w:t>
            </w:r>
            <w:r>
              <w:rPr>
                <w:rFonts w:hint="eastAsia" w:ascii="宋体" w:hAnsi="宋体" w:eastAsia="宋体" w:cs="宋体"/>
                <w:b/>
                <w:bCs/>
                <w:sz w:val="24"/>
                <w:szCs w:val="24"/>
                <w:lang w:val="en-US" w:eastAsia="zh-CN"/>
              </w:rPr>
              <w:t>冷广鑫</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电话：</w:t>
            </w:r>
            <w:r>
              <w:rPr>
                <w:rFonts w:hint="eastAsia" w:ascii="宋体" w:hAnsi="宋体" w:eastAsia="宋体" w:cs="宋体"/>
                <w:sz w:val="24"/>
                <w:szCs w:val="24"/>
              </w:rPr>
              <w:t>19861850141</w:t>
            </w:r>
          </w:p>
          <w:p>
            <w:pPr>
              <w:ind w:firstLine="482" w:firstLineChars="200"/>
              <w:rPr>
                <w:rFonts w:hint="eastAsia"/>
              </w:rPr>
            </w:pPr>
            <w:r>
              <w:rPr>
                <w:rFonts w:hint="eastAsia" w:ascii="宋体" w:hAnsi="宋体" w:eastAsia="宋体" w:cs="宋体"/>
                <w:b/>
                <w:bCs/>
                <w:sz w:val="24"/>
                <w:szCs w:val="24"/>
              </w:rPr>
              <w:t>邮箱：</w:t>
            </w:r>
            <w:r>
              <w:rPr>
                <w:rFonts w:hint="eastAsia" w:ascii="宋体" w:hAnsi="宋体" w:eastAsia="宋体" w:cs="宋体"/>
                <w:sz w:val="24"/>
                <w:szCs w:val="24"/>
              </w:rPr>
              <w:t>lengguangxin@sinotruk.com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ind w:firstLine="482" w:firstLineChars="200"/>
              <w:rPr>
                <w:rFonts w:hint="eastAsia" w:ascii="宋体" w:hAnsi="宋体" w:eastAsia="宋体" w:cs="宋体"/>
                <w:sz w:val="24"/>
                <w:szCs w:val="24"/>
              </w:rPr>
            </w:pPr>
            <w:r>
              <w:rPr>
                <w:rFonts w:hint="eastAsia" w:hAnsi="宋体" w:eastAsia="宋体" w:cs="Times New Roman"/>
                <w:b/>
                <w:bCs/>
                <w:color w:val="000000"/>
                <w:sz w:val="24"/>
                <w:szCs w:val="24"/>
              </w:rPr>
              <w:t>投标限价：</w:t>
            </w:r>
            <w:r>
              <w:rPr>
                <w:rFonts w:hint="eastAsia" w:hAnsi="宋体" w:eastAsia="宋体" w:cs="Times New Roman"/>
                <w:b/>
                <w:bCs/>
                <w:color w:val="000000"/>
                <w:sz w:val="24"/>
                <w:szCs w:val="24"/>
                <w:highlight w:val="yellow"/>
              </w:rPr>
              <w:t>人民币48.0300万元（含税，税率13%），超过投标限价无法投标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47"/>
            </w:pPr>
          </w:p>
          <w:p>
            <w:pPr>
              <w:pStyle w:val="148"/>
              <w:rPr>
                <w:highlight w:val="yellow"/>
              </w:rPr>
            </w:pPr>
            <w:bookmarkStart w:id="4" w:name="_Toc47976590"/>
            <w:r>
              <w:rPr>
                <w:rFonts w:hint="eastAsia"/>
                <w:highlight w:val="yellow"/>
              </w:rPr>
              <w:t>投标人资格要求</w:t>
            </w:r>
            <w:bookmarkEnd w:id="4"/>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1000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pPr>
              <w:pStyle w:val="149"/>
              <w:numPr>
                <w:ilvl w:val="0"/>
                <w:numId w:val="7"/>
              </w:numPr>
              <w:ind w:left="0" w:firstLine="0"/>
              <w:outlineLvl w:val="2"/>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pPr>
              <w:pStyle w:val="149"/>
              <w:numPr>
                <w:ilvl w:val="0"/>
                <w:numId w:val="7"/>
              </w:numPr>
              <w:ind w:left="0" w:firstLine="0"/>
              <w:outlineLvl w:val="2"/>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公司经营范围满足招标项目需求；</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所投设备厂商</w:t>
            </w:r>
            <w:r>
              <w:rPr>
                <w:rFonts w:hint="eastAsia"/>
                <w:b w:val="0"/>
                <w:bCs/>
                <w:strike w:val="0"/>
                <w:dstrike w:val="0"/>
                <w:highlight w:val="none"/>
                <w:lang w:val="en-US" w:eastAsia="zh-CN"/>
              </w:rPr>
              <w:t>需</w:t>
            </w:r>
            <w:r>
              <w:rPr>
                <w:rFonts w:hint="eastAsia"/>
                <w:b w:val="0"/>
                <w:bCs/>
                <w:strike w:val="0"/>
                <w:dstrike w:val="0"/>
                <w:highlight w:val="none"/>
              </w:rPr>
              <w:t>具备国密算法密码卡自主研发能力，提供厂商</w:t>
            </w:r>
            <w:r>
              <w:rPr>
                <w:rFonts w:hint="eastAsia"/>
                <w:b w:val="0"/>
                <w:bCs/>
                <w:strike w:val="0"/>
                <w:dstrike w:val="0"/>
                <w:highlight w:val="none"/>
                <w:lang w:val="en-US" w:eastAsia="zh-CN"/>
              </w:rPr>
              <w:t>密码卡</w:t>
            </w:r>
            <w:r>
              <w:rPr>
                <w:rFonts w:hint="eastAsia"/>
                <w:b w:val="0"/>
                <w:bCs/>
                <w:strike w:val="0"/>
                <w:dstrike w:val="0"/>
                <w:highlight w:val="none"/>
              </w:rPr>
              <w:t>商用密码产品认证证书；</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投标人须有依法缴纳税收和社会保障资金的良好记录；</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lang w:eastAsia="zh-CN"/>
              </w:rPr>
              <w:t>标投标人持有有效期内的 CCRC 信息安全服务资质；</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投标人须认可招标人的工作指令，包括节、假日能正常开展工作的要求。</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rFonts w:hint="eastAsia" w:ascii="宋体"/>
                <w:b w:val="0"/>
                <w:bCs/>
                <w:strike w:val="0"/>
                <w:dstrike w:val="0"/>
                <w:highlight w:val="none"/>
              </w:rPr>
            </w:pPr>
            <w:r>
              <w:rPr>
                <w:rFonts w:hint="eastAsia" w:ascii="宋体"/>
                <w:b w:val="0"/>
                <w:bCs/>
                <w:strike w:val="0"/>
                <w:dstrike w:val="0"/>
                <w:highlight w:val="none"/>
              </w:rPr>
              <w:t>法律、行政法规规定的其他条件</w:t>
            </w:r>
            <w:r>
              <w:rPr>
                <w:rFonts w:hint="eastAsia" w:ascii="宋体"/>
                <w:b w:val="0"/>
                <w:bCs/>
                <w:strike w:val="0"/>
                <w:dstrike w:val="0"/>
                <w:highlight w:val="none"/>
                <w:lang w:eastAsia="zh-CN"/>
              </w:rPr>
              <w:t>；</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strike w:val="0"/>
                <w:dstrike w:val="0"/>
                <w:highlight w:val="cyan"/>
              </w:rPr>
            </w:pPr>
            <w:r>
              <w:rPr>
                <w:rFonts w:hint="eastAsia" w:ascii="宋体"/>
                <w:b w:val="0"/>
                <w:bCs/>
                <w:strike w:val="0"/>
                <w:dstrike w:val="0"/>
                <w:highlight w:val="none"/>
                <w:lang w:val="en-US" w:eastAsia="zh-CN"/>
              </w:rPr>
              <w:t>投标人</w:t>
            </w:r>
            <w:r>
              <w:rPr>
                <w:rFonts w:hint="eastAsia" w:ascii="宋体"/>
                <w:b w:val="0"/>
                <w:bCs/>
                <w:strike w:val="0"/>
                <w:dstrike w:val="0"/>
                <w:highlight w:val="none"/>
              </w:rPr>
              <w:t>是招标货物的制造商或制造商授权的经销商；一个制造商对同一品牌同一型号的货物,仅能委托一个代理商参加投标</w:t>
            </w:r>
            <w:r>
              <w:rPr>
                <w:rFonts w:hint="eastAsia" w:ascii="宋体"/>
                <w:b w:val="0"/>
                <w:bCs/>
                <w:strike w:val="0"/>
                <w:dstrike w:val="0"/>
                <w:highlight w:val="none"/>
                <w:lang w:eastAsia="zh-CN"/>
              </w:rPr>
              <w:t>。</w:t>
            </w:r>
            <w:r>
              <w:rPr>
                <w:rFonts w:hint="eastAsia" w:ascii="宋体"/>
                <w:b w:val="0"/>
                <w:bCs/>
                <w:strike w:val="0"/>
                <w:dstrike w:val="0"/>
                <w:highlight w:val="none"/>
              </w:rPr>
              <w:t>如为代理商投标，需获得生产厂家正式授权，提供授权书原件，保</w:t>
            </w:r>
            <w:r>
              <w:rPr>
                <w:rFonts w:hint="eastAsia"/>
                <w:b w:val="0"/>
                <w:bCs/>
              </w:rPr>
              <w:t>证提供原厂售后服务并提供原厂售后服务承诺书原件</w:t>
            </w:r>
            <w:r>
              <w:rPr>
                <w:rFonts w:hint="eastAsia"/>
                <w:b w:val="0"/>
                <w:bCs/>
                <w:lang w:eastAsia="zh-CN"/>
              </w:rPr>
              <w:t>。</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highlight w:val="none"/>
              </w:rPr>
            </w:pPr>
            <w:r>
              <w:rPr>
                <w:rFonts w:hint="eastAsia"/>
                <w:b w:val="0"/>
                <w:bCs/>
                <w:strike w:val="0"/>
                <w:dstrike w:val="0"/>
                <w:highlight w:val="none"/>
              </w:rPr>
              <w:t>投标人近三年（2022年至2024年）连续取得税务部门颁发的企业纳税信用A级评价证书。</w:t>
            </w:r>
          </w:p>
          <w:p>
            <w:pPr>
              <w:pStyle w:val="149"/>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outlineLvl w:val="2"/>
              <w:rPr>
                <w:b w:val="0"/>
                <w:bCs/>
                <w:highlight w:val="none"/>
              </w:rPr>
            </w:pPr>
            <w:r>
              <w:rPr>
                <w:rFonts w:hint="eastAsia"/>
                <w:b w:val="0"/>
                <w:bCs/>
                <w:strike w:val="0"/>
                <w:dstrike w:val="0"/>
                <w:highlight w:val="none"/>
                <w:lang w:val="en-US" w:eastAsia="zh-CN"/>
              </w:rPr>
              <w:t>提供的</w:t>
            </w:r>
            <w:r>
              <w:rPr>
                <w:rFonts w:hint="eastAsia"/>
                <w:b w:val="0"/>
                <w:bCs/>
                <w:highlight w:val="none"/>
              </w:rPr>
              <w:t>资质文件：</w:t>
            </w:r>
          </w:p>
          <w:p>
            <w:pPr>
              <w:pStyle w:val="150"/>
              <w:numPr>
                <w:ilvl w:val="0"/>
                <w:numId w:val="8"/>
              </w:numPr>
              <w:ind w:left="425" w:leftChars="0" w:hanging="425" w:firstLineChars="0"/>
              <w:rPr>
                <w:b w:val="0"/>
                <w:bCs/>
                <w:highlight w:val="none"/>
              </w:rPr>
            </w:pPr>
            <w:r>
              <w:rPr>
                <w:rFonts w:hint="eastAsia"/>
                <w:b w:val="0"/>
                <w:bCs/>
                <w:highlight w:val="none"/>
              </w:rPr>
              <w:t>法定代表人身份证明；</w:t>
            </w:r>
          </w:p>
          <w:p>
            <w:pPr>
              <w:pStyle w:val="150"/>
              <w:numPr>
                <w:ilvl w:val="0"/>
                <w:numId w:val="8"/>
              </w:numPr>
              <w:ind w:left="425" w:leftChars="0" w:hanging="425" w:firstLineChars="0"/>
              <w:rPr>
                <w:b w:val="0"/>
                <w:bCs/>
                <w:highlight w:val="none"/>
              </w:rPr>
            </w:pPr>
            <w:r>
              <w:rPr>
                <w:rFonts w:hint="eastAsia"/>
                <w:b w:val="0"/>
                <w:bCs/>
                <w:highlight w:val="none"/>
              </w:rPr>
              <w:t>法定代表人授权委托书（授权人需带身份证原件）；</w:t>
            </w:r>
          </w:p>
          <w:p>
            <w:pPr>
              <w:pStyle w:val="150"/>
              <w:numPr>
                <w:ilvl w:val="0"/>
                <w:numId w:val="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pPr>
              <w:pStyle w:val="150"/>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pPr>
              <w:pStyle w:val="150"/>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pPr>
              <w:pStyle w:val="150"/>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150"/>
              <w:numPr>
                <w:ilvl w:val="0"/>
                <w:numId w:val="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pPr>
              <w:pStyle w:val="150"/>
              <w:numPr>
                <w:ilvl w:val="0"/>
                <w:numId w:val="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pPr>
              <w:pStyle w:val="150"/>
              <w:numPr>
                <w:ilvl w:val="0"/>
                <w:numId w:val="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pPr>
              <w:pStyle w:val="150"/>
              <w:numPr>
                <w:ilvl w:val="0"/>
                <w:numId w:val="8"/>
              </w:numPr>
              <w:ind w:left="425" w:leftChars="0" w:hanging="425" w:firstLineChars="0"/>
              <w:rPr>
                <w:b w:val="0"/>
                <w:bCs/>
                <w:highlight w:val="none"/>
              </w:rPr>
            </w:pPr>
            <w:r>
              <w:rPr>
                <w:rFonts w:hint="eastAsia"/>
                <w:b w:val="0"/>
                <w:bCs/>
                <w:highlight w:val="none"/>
              </w:rPr>
              <w:t>信用中国截图或国家企业信用信息公示系统截图；</w:t>
            </w:r>
          </w:p>
          <w:p>
            <w:pPr>
              <w:pStyle w:val="150"/>
              <w:numPr>
                <w:ilvl w:val="0"/>
                <w:numId w:val="8"/>
              </w:numPr>
              <w:ind w:left="425" w:leftChars="0" w:hanging="425" w:firstLineChars="0"/>
              <w:rPr>
                <w:b w:val="0"/>
                <w:bCs/>
                <w:highlight w:val="none"/>
              </w:rPr>
            </w:pPr>
            <w:r>
              <w:rPr>
                <w:rFonts w:hint="eastAsia"/>
                <w:b w:val="0"/>
                <w:bCs/>
                <w:highlight w:val="none"/>
              </w:rPr>
              <w:t>招标文件中要求的其它资格证明文件。</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rPr>
                <w:rFonts w:hint="default" w:ascii="宋体" w:hAnsi="宋体" w:eastAsia="宋体" w:cs="宋体"/>
                <w:b/>
                <w:bCs w:val="0"/>
                <w:color w:val="FF0000"/>
                <w:sz w:val="18"/>
                <w:szCs w:val="18"/>
                <w:highlight w:val="none"/>
                <w:lang w:val="en-US" w:eastAsia="zh-CN"/>
              </w:rPr>
            </w:pPr>
            <w:r>
              <w:rPr>
                <w:rFonts w:hint="eastAsia"/>
                <w:b w:val="0"/>
                <w:bCs/>
                <w:highlight w:val="none"/>
              </w:rPr>
              <w:t>对于投标人资质审核不通过的，招标人有权拒绝其投标。</w:t>
            </w:r>
          </w:p>
          <w:p>
            <w:pPr>
              <w:adjustRightInd w:val="0"/>
              <w:snapToGrid w:val="0"/>
              <w:spacing w:line="360" w:lineRule="auto"/>
              <w:ind w:firstLine="573"/>
              <w:jc w:val="left"/>
              <w:rPr>
                <w:rFonts w:hint="eastAsia" w:ascii="宋体" w:hAnsi="宋体" w:eastAsia="宋体" w:cs="仿宋_GB2312"/>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24</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r>
              <w:rPr>
                <w:rFonts w:hint="eastAsia" w:eastAsia="宋体" w:cs="Times New Roman"/>
                <w:highlight w:val="yellow"/>
              </w:rPr>
              <w:t>点击“</w:t>
            </w:r>
            <w:r>
              <w:rPr>
                <w:rFonts w:hint="eastAsia" w:eastAsia="宋体" w:cs="Times New Roman"/>
                <w:b/>
                <w:bCs/>
                <w:highlight w:val="yellow"/>
              </w:rPr>
              <w:t>应标</w:t>
            </w:r>
            <w:r>
              <w:rPr>
                <w:rFonts w:hint="eastAsia" w:eastAsia="宋体" w:cs="Times New Roman"/>
                <w:highlight w:val="yellow"/>
              </w:rPr>
              <w:t>”</w:t>
            </w:r>
            <w:r>
              <w:rPr>
                <w:rFonts w:hint="eastAsia" w:eastAsia="宋体" w:cs="Times New Roman"/>
                <w:b/>
                <w:bCs/>
                <w:highlight w:val="yellow"/>
              </w:rPr>
              <w:t>后按照招标文件第三部分投标文件组成资格证明文件中的1.1</w:t>
            </w:r>
            <w:r>
              <w:rPr>
                <w:rFonts w:eastAsia="宋体" w:cs="Times New Roman"/>
                <w:b/>
                <w:bCs/>
                <w:highlight w:val="yellow"/>
              </w:rPr>
              <w:t>-</w:t>
            </w:r>
            <w:r>
              <w:rPr>
                <w:rFonts w:hint="eastAsia" w:eastAsia="宋体" w:cs="Times New Roman"/>
                <w:b/>
                <w:bCs/>
                <w:highlight w:val="yellow"/>
              </w:rPr>
              <w:t>1.13准备资料并</w:t>
            </w:r>
            <w:r>
              <w:rPr>
                <w:rFonts w:hint="eastAsia" w:eastAsia="宋体" w:cs="Times New Roman"/>
                <w:highlight w:val="yellow"/>
              </w:rPr>
              <w:t>上传</w:t>
            </w:r>
            <w:r>
              <w:rPr>
                <w:rFonts w:hint="eastAsia" w:eastAsia="宋体" w:cs="Times New Roman"/>
              </w:rPr>
              <w:t>，资质审查通过即为报名成功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eastAsia="宋体" w:cs="宋体"/>
                <w:highlight w:val="yellow"/>
              </w:rPr>
            </w:pPr>
            <w:r>
              <w:rPr>
                <w:rFonts w:hint="eastAsia" w:eastAsia="宋体" w:cs="宋体"/>
                <w:b/>
                <w:bCs/>
              </w:rPr>
              <w:t>应标截止时间：</w:t>
            </w:r>
            <w:r>
              <w:rPr>
                <w:rFonts w:hint="eastAsia" w:ascii="宋体" w:hAnsi="宋体" w:eastAsia="宋体" w:cs="宋体"/>
                <w:bCs/>
                <w:sz w:val="24"/>
                <w:szCs w:val="24"/>
                <w:highlight w:val="yellow"/>
              </w:rPr>
              <w:t>2025年</w:t>
            </w:r>
            <w:r>
              <w:rPr>
                <w:rFonts w:hint="eastAsia"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eastAsia="宋体" w:cs="宋体"/>
                <w:bCs/>
                <w:sz w:val="24"/>
                <w:szCs w:val="24"/>
                <w:highlight w:val="yellow"/>
                <w:lang w:val="en-US" w:eastAsia="zh-CN"/>
              </w:rPr>
              <w:t>29</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p>
          <w:p>
            <w:pPr>
              <w:pStyle w:val="115"/>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（电子版为纸质盖章版的扫描件或加盖电子章）</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pPr>
              <w:ind w:firstLine="482" w:firstLineChars="200"/>
              <w:rPr>
                <w:rFonts w:hint="eastAsia"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hAnsi="宋体" w:eastAsia="宋体" w:cs="Times New Roman"/>
                <w:color w:val="000000"/>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int="eastAsia"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0"/>
              <w:rPr>
                <w:rFonts w:hint="eastAsia" w:eastAsia="宋体" w:cs="宋体" w:asciiTheme="minorHAnsi" w:hAnsiTheme="minorHAnsi"/>
                <w:b/>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18</w:t>
            </w:r>
            <w:r>
              <w:rPr>
                <w:rFonts w:hint="eastAsia"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hAnsi="宋体" w:eastAsia="宋体" w:cs="宋体"/>
                <w:sz w:val="24"/>
                <w:szCs w:val="24"/>
                <w:highlight w:val="yellow"/>
              </w:rPr>
              <w:t>:00:00（北京时间）</w:t>
            </w:r>
          </w:p>
          <w:p>
            <w:pPr>
              <w:pStyle w:val="20"/>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000.00元</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开户名称：</w:t>
            </w:r>
            <w:r>
              <w:rPr>
                <w:rFonts w:hint="eastAsia" w:ascii="宋体" w:hAnsi="宋体" w:eastAsia="宋体" w:cs="宋体"/>
                <w:color w:val="000000"/>
                <w:kern w:val="0"/>
                <w:sz w:val="24"/>
                <w:szCs w:val="24"/>
              </w:rPr>
              <w:t>中国重汽集团济南动力有限公司</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开户银行：</w:t>
            </w:r>
            <w:r>
              <w:rPr>
                <w:rFonts w:hint="eastAsia" w:ascii="宋体" w:hAnsi="宋体" w:eastAsia="宋体" w:cs="宋体"/>
                <w:color w:val="000000"/>
                <w:kern w:val="0"/>
                <w:sz w:val="24"/>
                <w:szCs w:val="24"/>
              </w:rPr>
              <w:t>中国建设银行股份有限公司济南天桥支行</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宋体" w:hAnsi="宋体" w:eastAsia="宋体" w:cs="宋体"/>
                <w:color w:val="000000"/>
                <w:kern w:val="0"/>
                <w:sz w:val="24"/>
                <w:szCs w:val="24"/>
              </w:rPr>
              <w:t>37001616508050150300</w:t>
            </w:r>
          </w:p>
          <w:p>
            <w:pPr>
              <w:ind w:firstLine="482" w:firstLineChars="200"/>
              <w:rPr>
                <w:rFonts w:hint="eastAsia" w:ascii="宋体" w:hAnsi="宋体" w:eastAsia="宋体" w:cs="宋体"/>
                <w:sz w:val="24"/>
                <w:szCs w:val="24"/>
              </w:rPr>
            </w:pPr>
            <w:r>
              <w:rPr>
                <w:rFonts w:hint="eastAsia" w:ascii="宋体" w:hAnsi="宋体" w:eastAsia="宋体" w:cs="宋体"/>
                <w:b/>
                <w:bCs/>
                <w:color w:val="000000"/>
                <w:kern w:val="0"/>
                <w:sz w:val="24"/>
                <w:szCs w:val="24"/>
              </w:rPr>
              <w:t>联行号：</w:t>
            </w:r>
            <w:r>
              <w:rPr>
                <w:rFonts w:hint="eastAsia" w:ascii="宋体" w:hAnsi="宋体" w:eastAsia="宋体" w:cs="宋体"/>
                <w:color w:val="000000"/>
                <w:kern w:val="0"/>
                <w:sz w:val="24"/>
                <w:szCs w:val="24"/>
              </w:rPr>
              <w:t>105451000362</w:t>
            </w:r>
          </w:p>
          <w:p>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8"/>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w:t>
            </w:r>
            <w:r>
              <w:rPr>
                <w:rFonts w:hint="eastAsia" w:ascii="宋体" w:hAnsi="宋体" w:cs="宋体"/>
                <w:sz w:val="24"/>
                <w:szCs w:val="24"/>
                <w:highlight w:val="yellow"/>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18</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19</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w:t>
            </w:r>
            <w:r>
              <w:rPr>
                <w:rFonts w:hint="eastAsia" w:hAnsi="宋体" w:eastAsia="宋体" w:cs="宋体"/>
                <w:sz w:val="24"/>
                <w:szCs w:val="24"/>
                <w:highlight w:val="yellow"/>
                <w:lang w:val="en-US" w:eastAsia="zh-CN"/>
              </w:rPr>
              <w:t>具体时间地点另行通知</w:t>
            </w:r>
            <w:r>
              <w:rPr>
                <w:rFonts w:hint="eastAsia" w:hAnsi="宋体" w:eastAsia="宋体" w:cs="宋体"/>
                <w:sz w:val="24"/>
                <w:szCs w:val="24"/>
                <w:highlight w:val="yellow"/>
              </w:rPr>
              <w:t>）</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评标方法：资质标审核→唱标→技术标评审→商务标评审。</w:t>
            </w:r>
            <w:r>
              <w:rPr>
                <w:rFonts w:hint="eastAsia" w:ascii="宋体" w:hAnsi="宋体" w:eastAsia="宋体" w:cs="宋体"/>
                <w:b/>
                <w:bCs/>
                <w:sz w:val="24"/>
                <w:szCs w:val="24"/>
                <w:lang w:val="en-US" w:eastAsia="zh-CN"/>
              </w:rPr>
              <w:t>合理最低价</w:t>
            </w:r>
            <w:r>
              <w:rPr>
                <w:rFonts w:hint="eastAsia" w:ascii="宋体" w:hAnsi="宋体" w:eastAsia="宋体" w:cs="Times New Roman"/>
                <w:b/>
                <w:bCs/>
                <w:color w:val="000000"/>
                <w:sz w:val="24"/>
                <w:szCs w:val="24"/>
              </w:rPr>
              <w:t>中标</w:t>
            </w:r>
            <w:r>
              <w:rPr>
                <w:rFonts w:hint="eastAsia" w:ascii="宋体" w:hAnsi="宋体" w:eastAsia="宋体" w:cs="宋体"/>
                <w:sz w:val="24"/>
                <w:szCs w:val="24"/>
              </w:rPr>
              <w:t>。</w:t>
            </w:r>
          </w:p>
        </w:tc>
      </w:tr>
      <w:bookmarkEnd w:id="3"/>
    </w:tbl>
    <w:p>
      <w:pPr>
        <w:rPr>
          <w:rFonts w:ascii="Calibri" w:hAnsi="Calibri" w:eastAsia="宋体" w:cs="Times New Roman"/>
          <w:b/>
          <w:bCs/>
          <w:kern w:val="44"/>
          <w:sz w:val="36"/>
          <w:szCs w:val="44"/>
        </w:rPr>
      </w:pPr>
      <w:bookmarkStart w:id="5" w:name="_Toc15609"/>
    </w:p>
    <w:bookmarkEnd w:id="5"/>
    <w:p>
      <w:pPr>
        <w:spacing w:line="360" w:lineRule="auto"/>
        <w:jc w:val="center"/>
        <w:outlineLvl w:val="0"/>
        <w:rPr>
          <w:rFonts w:hint="default" w:ascii="宋体" w:hAnsi="Calibri" w:eastAsia="宋体" w:cs="Times New Roman"/>
          <w:b/>
          <w:sz w:val="36"/>
          <w:szCs w:val="36"/>
          <w:lang w:val="en-US" w:eastAsia="zh-CN"/>
        </w:rPr>
      </w:pPr>
      <w:bookmarkStart w:id="6" w:name="_Toc2287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二</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lang w:val="en-US" w:eastAsia="zh-CN"/>
        </w:rPr>
        <w:t>商务要求</w:t>
      </w:r>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adjustRightInd w:val="0"/>
        <w:snapToGrid w:val="0"/>
        <w:spacing w:line="360" w:lineRule="auto"/>
        <w:jc w:val="left"/>
        <w:rPr>
          <w:rFonts w:hint="eastAsia" w:ascii="宋体" w:hAnsi="宋体"/>
          <w:sz w:val="20"/>
          <w:szCs w:val="20"/>
        </w:rPr>
      </w:pPr>
    </w:p>
    <w:p>
      <w:pPr>
        <w:pStyle w:val="151"/>
        <w:numPr>
          <w:ilvl w:val="0"/>
          <w:numId w:val="0"/>
        </w:numPr>
        <w:ind w:leftChars="0"/>
        <w:outlineLvl w:val="1"/>
        <w:rPr>
          <w:rFonts w:hint="eastAsia" w:cs="Times New Roman"/>
          <w:b w:val="0"/>
          <w:bCs/>
          <w:highlight w:val="none"/>
        </w:rPr>
      </w:pPr>
      <w:r>
        <w:rPr>
          <w:rFonts w:hint="eastAsia" w:cs="Times New Roman"/>
          <w:b w:val="0"/>
          <w:bCs/>
          <w:highlight w:val="none"/>
        </w:rPr>
        <w:t>商务标：</w:t>
      </w:r>
    </w:p>
    <w:p>
      <w:pPr>
        <w:pStyle w:val="150"/>
        <w:keepNext w:val="0"/>
        <w:keepLines w:val="0"/>
        <w:pageBreakBefore w:val="0"/>
        <w:widowControl w:val="0"/>
        <w:numPr>
          <w:ilvl w:val="0"/>
          <w:numId w:val="1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pPr>
        <w:pStyle w:val="150"/>
        <w:numPr>
          <w:ilvl w:val="0"/>
          <w:numId w:val="10"/>
        </w:numPr>
        <w:ind w:left="425" w:leftChars="0" w:hanging="425" w:firstLineChars="0"/>
        <w:rPr>
          <w:b w:val="0"/>
          <w:bCs/>
          <w:highlight w:val="yellow"/>
        </w:rPr>
      </w:pPr>
      <w:r>
        <w:rPr>
          <w:rFonts w:hint="eastAsia"/>
          <w:b w:val="0"/>
          <w:bCs/>
          <w:highlight w:val="yellow"/>
        </w:rPr>
        <w:t>投标函（格式见附件）;</w:t>
      </w:r>
    </w:p>
    <w:p>
      <w:pPr>
        <w:pStyle w:val="150"/>
        <w:numPr>
          <w:ilvl w:val="0"/>
          <w:numId w:val="10"/>
        </w:numPr>
        <w:ind w:left="425" w:leftChars="0" w:hanging="425" w:firstLineChars="0"/>
        <w:rPr>
          <w:b w:val="0"/>
          <w:bCs/>
          <w:highlight w:val="yellow"/>
        </w:rPr>
      </w:pPr>
      <w:r>
        <w:rPr>
          <w:rFonts w:hint="eastAsia"/>
          <w:b w:val="0"/>
          <w:bCs/>
          <w:highlight w:val="yellow"/>
        </w:rPr>
        <w:t>商务条款偏离表；</w:t>
      </w:r>
    </w:p>
    <w:p>
      <w:pPr>
        <w:pStyle w:val="150"/>
        <w:numPr>
          <w:ilvl w:val="0"/>
          <w:numId w:val="10"/>
        </w:numPr>
        <w:ind w:left="425" w:leftChars="0" w:hanging="425" w:firstLineChars="0"/>
        <w:rPr>
          <w:b w:val="0"/>
          <w:bCs/>
          <w:highlight w:val="yellow"/>
        </w:rPr>
      </w:pPr>
      <w:r>
        <w:rPr>
          <w:rFonts w:hint="eastAsia"/>
          <w:b w:val="0"/>
          <w:bCs/>
          <w:highlight w:val="yellow"/>
        </w:rPr>
        <w:t>投标货物分项报价表；</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48.025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pPr>
        <w:pStyle w:val="149"/>
        <w:keepNext w:val="0"/>
        <w:keepLines w:val="0"/>
        <w:pageBreakBefore w:val="0"/>
        <w:widowControl w:val="0"/>
        <w:numPr>
          <w:ilvl w:val="0"/>
          <w:numId w:val="0"/>
        </w:numPr>
        <w:kinsoku/>
        <w:wordWrap/>
        <w:overflowPunct/>
        <w:topLinePunct w:val="0"/>
        <w:autoSpaceDE/>
        <w:autoSpaceDN/>
        <w:bidi w:val="0"/>
        <w:adjustRightInd/>
        <w:snapToGrid/>
        <w:ind w:leftChars="0"/>
        <w:textAlignment w:val="auto"/>
        <w:outlineLvl w:val="1"/>
        <w:rPr>
          <w:rFonts w:hint="eastAsia" w:cs="Times New Roman"/>
          <w:b w:val="0"/>
          <w:lang w:val="en-US" w:eastAsia="zh-CN"/>
        </w:rPr>
      </w:pPr>
      <w:r>
        <w:rPr>
          <w:rFonts w:hint="eastAsia" w:cs="Times New Roman"/>
          <w:b w:val="0"/>
          <w:lang w:val="en-US" w:eastAsia="zh-CN"/>
        </w:rPr>
        <w:t>投标文件的投递</w:t>
      </w:r>
    </w:p>
    <w:p>
      <w:pPr>
        <w:pStyle w:val="150"/>
        <w:numPr>
          <w:ilvl w:val="0"/>
          <w:numId w:val="11"/>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投标方式：在中国重汽e采通平台应标成功后，进入“供应商投标”环节，投递盖章扫描版电子</w:t>
      </w:r>
    </w:p>
    <w:p>
      <w:pPr>
        <w:pStyle w:val="150"/>
        <w:numPr>
          <w:ilvl w:val="0"/>
          <w:numId w:val="11"/>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标书（包含资质标书、技术标书、商务标书），若逾期未在中国重汽e采通平台上传电子标书，即便递交了纸版投标文件，一律视为无效。</w:t>
      </w:r>
    </w:p>
    <w:p>
      <w:pPr>
        <w:pStyle w:val="148"/>
        <w:rPr>
          <w:rFonts w:hint="eastAsia" w:hAnsi="Courier New" w:cs="Times New Roman"/>
          <w:highlight w:val="none"/>
        </w:rPr>
      </w:pPr>
      <w:bookmarkStart w:id="7"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148"/>
        <w:numPr>
          <w:ilvl w:val="0"/>
          <w:numId w:val="12"/>
        </w:numPr>
        <w:ind w:leftChars="0"/>
        <w:outlineLvl w:val="2"/>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pPr>
        <w:pStyle w:val="148"/>
        <w:numPr>
          <w:ilvl w:val="0"/>
          <w:numId w:val="13"/>
        </w:numPr>
        <w:ind w:left="425" w:leftChars="0" w:hanging="425" w:firstLineChars="0"/>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pPr>
        <w:pStyle w:val="148"/>
        <w:numPr>
          <w:ilvl w:val="0"/>
          <w:numId w:val="13"/>
        </w:numPr>
        <w:ind w:left="425" w:leftChars="0" w:hanging="425" w:firstLineChars="0"/>
        <w:outlineLvl w:val="3"/>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pPr>
        <w:pStyle w:val="148"/>
        <w:numPr>
          <w:ilvl w:val="0"/>
          <w:numId w:val="13"/>
        </w:numPr>
        <w:outlineLvl w:val="3"/>
        <w:rPr>
          <w:rFonts w:hint="eastAsia"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中国重汽集团济南动力有限公司  </w:t>
      </w:r>
    </w:p>
    <w:p>
      <w:pPr>
        <w:tabs>
          <w:tab w:val="left" w:pos="932"/>
        </w:tabs>
        <w:ind w:firstLine="420" w:firstLineChars="200"/>
        <w:outlineLvl w:val="9"/>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kern w:val="2"/>
          <w:sz w:val="21"/>
          <w:szCs w:val="21"/>
          <w:highlight w:val="yellow"/>
          <w:u w:val="single"/>
          <w:lang w:val="en-US" w:eastAsia="zh-CN" w:bidi="ar-SA"/>
        </w:rPr>
        <w:t xml:space="preserve"> 中国建设银行济南市天桥区支行 </w:t>
      </w:r>
    </w:p>
    <w:p>
      <w:pPr>
        <w:pStyle w:val="148"/>
        <w:numPr>
          <w:ilvl w:val="0"/>
          <w:numId w:val="0"/>
        </w:numPr>
        <w:ind w:firstLine="420" w:firstLineChars="200"/>
        <w:outlineLvl w:val="9"/>
        <w:rPr>
          <w:rFonts w:hint="eastAsia" w:ascii="宋体" w:hAnsi="宋体" w:eastAsia="宋体" w:cs="宋体"/>
          <w:b w:val="0"/>
          <w:bCs w:val="0"/>
          <w:kern w:val="2"/>
          <w:sz w:val="21"/>
          <w:szCs w:val="21"/>
          <w:highlight w:val="yellow"/>
          <w:u w:val="single"/>
          <w:lang w:val="en-US" w:eastAsia="zh-CN" w:bidi="ar-SA"/>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kern w:val="2"/>
          <w:sz w:val="21"/>
          <w:szCs w:val="21"/>
          <w:highlight w:val="yellow"/>
          <w:u w:val="single"/>
          <w:lang w:val="en-US" w:eastAsia="zh-CN" w:bidi="ar-SA"/>
        </w:rPr>
        <w:t xml:space="preserve"> 37001616508050150300 </w:t>
      </w:r>
    </w:p>
    <w:p>
      <w:pPr>
        <w:pStyle w:val="148"/>
        <w:numPr>
          <w:ilvl w:val="0"/>
          <w:numId w:val="0"/>
        </w:numPr>
        <w:ind w:firstLine="420" w:firstLineChars="200"/>
        <w:outlineLvl w:val="9"/>
        <w:rPr>
          <w:rFonts w:hint="eastAsia"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kern w:val="2"/>
          <w:sz w:val="21"/>
          <w:szCs w:val="21"/>
          <w:highlight w:val="yellow"/>
          <w:u w:val="single"/>
          <w:lang w:val="en-US" w:eastAsia="zh-CN" w:bidi="ar-SA"/>
        </w:rPr>
        <w:t xml:space="preserve">105451000362 </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outlineLvl w:val="9"/>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pPr>
        <w:pStyle w:val="148"/>
        <w:keepNext w:val="0"/>
        <w:keepLines w:val="0"/>
        <w:pageBreakBefore w:val="0"/>
        <w:widowControl w:val="0"/>
        <w:numPr>
          <w:ilvl w:val="0"/>
          <w:numId w:val="12"/>
        </w:numPr>
        <w:kinsoku/>
        <w:wordWrap/>
        <w:overflowPunct/>
        <w:topLinePunct w:val="0"/>
        <w:autoSpaceDE/>
        <w:autoSpaceDN/>
        <w:bidi w:val="0"/>
        <w:adjustRightInd/>
        <w:snapToGrid/>
        <w:ind w:left="0" w:leftChars="0" w:firstLine="0"/>
        <w:textAlignment w:val="auto"/>
        <w:outlineLvl w:val="2"/>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pPr>
        <w:pStyle w:val="148"/>
        <w:keepNext w:val="0"/>
        <w:keepLines w:val="0"/>
        <w:pageBreakBefore w:val="0"/>
        <w:widowControl w:val="0"/>
        <w:numPr>
          <w:ilvl w:val="0"/>
          <w:numId w:val="12"/>
        </w:numPr>
        <w:kinsoku/>
        <w:wordWrap/>
        <w:overflowPunct/>
        <w:topLinePunct w:val="0"/>
        <w:autoSpaceDE/>
        <w:autoSpaceDN/>
        <w:bidi w:val="0"/>
        <w:adjustRightInd/>
        <w:snapToGrid/>
        <w:ind w:left="0" w:leftChars="0" w:firstLine="0"/>
        <w:textAlignment w:val="auto"/>
        <w:outlineLvl w:val="2"/>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pPr>
        <w:pStyle w:val="148"/>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45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45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pPr>
        <w:pStyle w:val="148"/>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7"/>
    <w:p>
      <w:pPr>
        <w:pStyle w:val="148"/>
      </w:pPr>
      <w:r>
        <w:rPr>
          <w:rFonts w:hint="eastAsia"/>
          <w:lang w:val="en-US" w:eastAsia="zh-CN"/>
        </w:rPr>
        <w:t>开评标</w:t>
      </w:r>
    </w:p>
    <w:p>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w:t>
      </w:r>
    </w:p>
    <w:p>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w:t>
      </w:r>
    </w:p>
    <w:p>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pPr>
        <w:keepNext w:val="0"/>
        <w:keepLines w:val="0"/>
        <w:pageBreakBefore w:val="0"/>
        <w:widowControl w:val="0"/>
        <w:numPr>
          <w:ilvl w:val="0"/>
          <w:numId w:val="15"/>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outlineLvl w:val="9"/>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pPr>
        <w:pStyle w:val="148"/>
        <w:keepNext w:val="0"/>
        <w:keepLines w:val="0"/>
        <w:pageBreakBefore w:val="0"/>
        <w:widowControl w:val="0"/>
        <w:numPr>
          <w:ilvl w:val="0"/>
          <w:numId w:val="0"/>
        </w:numPr>
        <w:kinsoku/>
        <w:wordWrap/>
        <w:overflowPunct/>
        <w:topLinePunct w:val="0"/>
        <w:autoSpaceDE/>
        <w:autoSpaceDN/>
        <w:bidi w:val="0"/>
        <w:adjustRightInd/>
        <w:snapToGrid/>
        <w:textAlignment w:val="auto"/>
        <w:outlineLvl w:val="9"/>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outlineLvl w:val="2"/>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9"/>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最高</w:t>
            </w:r>
          </w:p>
          <w:p>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pPr>
              <w:jc w:val="center"/>
              <w:rPr>
                <w:rFonts w:ascii="宋体"/>
              </w:rPr>
            </w:pPr>
            <w:r>
              <w:rPr>
                <w:rFonts w:hint="eastAsia" w:ascii="宋体" w:hAnsi="宋体"/>
                <w:szCs w:val="21"/>
                <w:lang w:val="en-US" w:eastAsia="zh-CN"/>
              </w:rPr>
              <w:t>投标人信誉及能力</w:t>
            </w:r>
          </w:p>
        </w:tc>
        <w:tc>
          <w:tcPr>
            <w:tcW w:w="650"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14</w:t>
            </w:r>
          </w:p>
        </w:tc>
        <w:tc>
          <w:tcPr>
            <w:tcW w:w="6153" w:type="dxa"/>
            <w:tcBorders>
              <w:top w:val="single" w:color="auto" w:sz="4" w:space="0"/>
              <w:left w:val="single" w:color="auto" w:sz="4" w:space="0"/>
              <w:bottom w:val="single" w:color="auto" w:sz="4" w:space="0"/>
              <w:right w:val="single" w:color="auto" w:sz="4" w:space="0"/>
            </w:tcBorders>
            <w:vAlign w:val="center"/>
          </w:tcPr>
          <w:p>
            <w:pPr>
              <w:tabs>
                <w:tab w:val="left" w:pos="7854"/>
              </w:tabs>
              <w:spacing w:line="280" w:lineRule="exact"/>
              <w:rPr>
                <w:rFonts w:hint="eastAsia"/>
              </w:rPr>
            </w:pPr>
            <w:r>
              <w:rPr>
                <w:rFonts w:hint="eastAsia"/>
              </w:rPr>
              <w:t>1.投标人具有《ISO27001》、《ISO20000》证书的，每提供1个得2分，最高得</w:t>
            </w:r>
            <w:r>
              <w:rPr>
                <w:rFonts w:hint="eastAsia"/>
                <w:lang w:val="en-US" w:eastAsia="zh-CN"/>
              </w:rPr>
              <w:t>4</w:t>
            </w:r>
            <w:r>
              <w:rPr>
                <w:rFonts w:hint="eastAsia"/>
              </w:rPr>
              <w:t>分。</w:t>
            </w:r>
          </w:p>
          <w:p>
            <w:pPr>
              <w:tabs>
                <w:tab w:val="left" w:pos="7854"/>
              </w:tabs>
              <w:spacing w:line="280" w:lineRule="exact"/>
              <w:rPr>
                <w:rFonts w:hint="eastAsia"/>
              </w:rPr>
            </w:pPr>
            <w:r>
              <w:rPr>
                <w:rFonts w:hint="eastAsia"/>
              </w:rPr>
              <w:t>2.提供自2023年8月1日至今（以签订合同时间为准）签署的大型企业网络安全项目业绩（与本项目相关），每提供一份项目业绩证明的得1分，最多得10分，不提供不得分。</w:t>
            </w:r>
          </w:p>
          <w:p>
            <w:pPr>
              <w:tabs>
                <w:tab w:val="left" w:pos="7854"/>
              </w:tabs>
              <w:spacing w:line="280" w:lineRule="exact"/>
            </w:pPr>
            <w:r>
              <w:rPr>
                <w:rFonts w:hint="eastAsia"/>
              </w:rPr>
              <w:t>（注：需在投标文件中提供完整合同复印件加盖公章，否则不得分）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ascii="宋体"/>
                <w:szCs w:val="21"/>
              </w:rPr>
            </w:pPr>
            <w:r>
              <w:rPr>
                <w:rFonts w:hint="eastAsia" w:ascii="宋体" w:hAnsi="宋体"/>
                <w:szCs w:val="21"/>
              </w:rPr>
              <w:t>厂商</w:t>
            </w:r>
            <w:r>
              <w:rPr>
                <w:rFonts w:hint="eastAsia" w:ascii="宋体" w:hAnsi="宋体"/>
                <w:szCs w:val="21"/>
                <w:lang w:val="en-US" w:eastAsia="zh-CN"/>
              </w:rPr>
              <w:t>及产品</w:t>
            </w:r>
            <w:r>
              <w:rPr>
                <w:rFonts w:hint="eastAsia" w:ascii="宋体" w:hAnsi="宋体"/>
                <w:szCs w:val="21"/>
              </w:rPr>
              <w:t>能力</w:t>
            </w:r>
          </w:p>
        </w:tc>
        <w:tc>
          <w:tcPr>
            <w:tcW w:w="650"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eastAsia="宋体"/>
                <w:szCs w:val="21"/>
                <w:lang w:val="en-US" w:eastAsia="zh-CN"/>
              </w:rPr>
            </w:pPr>
            <w:r>
              <w:rPr>
                <w:rFonts w:hint="eastAsia" w:ascii="宋体"/>
                <w:szCs w:val="21"/>
                <w:lang w:val="en-US" w:eastAsia="zh-CN"/>
              </w:rPr>
              <w:t>16</w:t>
            </w:r>
          </w:p>
        </w:tc>
        <w:tc>
          <w:tcPr>
            <w:tcW w:w="6153" w:type="dxa"/>
            <w:tcBorders>
              <w:top w:val="single" w:color="auto" w:sz="4" w:space="0"/>
              <w:left w:val="single" w:color="auto" w:sz="4" w:space="0"/>
              <w:bottom w:val="nil"/>
              <w:right w:val="single" w:color="auto" w:sz="4" w:space="0"/>
            </w:tcBorders>
            <w:vAlign w:val="center"/>
          </w:tcPr>
          <w:p>
            <w:pPr>
              <w:widowControl/>
              <w:numPr>
                <w:ilvl w:val="0"/>
                <w:numId w:val="0"/>
              </w:numPr>
              <w:rPr>
                <w:rFonts w:hint="eastAsia" w:ascii="宋体" w:hAnsi="宋体"/>
                <w:szCs w:val="21"/>
              </w:rPr>
            </w:pPr>
            <w:r>
              <w:rPr>
                <w:rFonts w:hint="eastAsia" w:ascii="宋体" w:hAnsi="宋体"/>
                <w:szCs w:val="21"/>
                <w:lang w:val="en-US" w:eastAsia="zh-CN"/>
              </w:rPr>
              <w:t>1.</w:t>
            </w:r>
            <w:r>
              <w:rPr>
                <w:rFonts w:hint="eastAsia" w:ascii="宋体" w:hAnsi="宋体"/>
                <w:szCs w:val="21"/>
              </w:rPr>
              <w:t>根据所投产品生产商取得密码相关的发明专利数量得分，专利名称中包含“加密</w:t>
            </w:r>
            <w:r>
              <w:rPr>
                <w:rFonts w:hint="eastAsia" w:ascii="宋体" w:hAnsi="宋体"/>
                <w:szCs w:val="21"/>
                <w:lang w:eastAsia="zh-CN"/>
              </w:rPr>
              <w:t>、</w:t>
            </w:r>
            <w:r>
              <w:rPr>
                <w:rFonts w:hint="eastAsia" w:ascii="宋体" w:hAnsi="宋体"/>
                <w:szCs w:val="21"/>
              </w:rPr>
              <w:t>解密”关键字，每提供一个得</w:t>
            </w:r>
            <w:r>
              <w:rPr>
                <w:rFonts w:hint="eastAsia" w:ascii="宋体" w:hAnsi="宋体"/>
                <w:szCs w:val="21"/>
                <w:lang w:val="en-US" w:eastAsia="zh-CN"/>
              </w:rPr>
              <w:t>2</w:t>
            </w:r>
            <w:r>
              <w:rPr>
                <w:rFonts w:hint="eastAsia" w:ascii="宋体" w:hAnsi="宋体"/>
                <w:szCs w:val="21"/>
              </w:rPr>
              <w:t>分。最多得</w:t>
            </w:r>
            <w:r>
              <w:rPr>
                <w:rFonts w:hint="eastAsia" w:ascii="宋体" w:hAnsi="宋体"/>
                <w:szCs w:val="21"/>
                <w:lang w:val="en-US" w:eastAsia="zh-CN"/>
              </w:rPr>
              <w:t>10</w:t>
            </w:r>
            <w:r>
              <w:rPr>
                <w:rFonts w:hint="eastAsia" w:ascii="宋体" w:hAnsi="宋体"/>
                <w:szCs w:val="21"/>
              </w:rPr>
              <w:t>分。</w:t>
            </w:r>
          </w:p>
          <w:p>
            <w:pPr>
              <w:widowControl/>
              <w:numPr>
                <w:ilvl w:val="0"/>
                <w:numId w:val="0"/>
              </w:numPr>
              <w:jc w:val="left"/>
              <w:rPr>
                <w:rFonts w:hint="eastAsia" w:ascii="宋体" w:hAnsi="宋体"/>
                <w:szCs w:val="21"/>
              </w:rPr>
            </w:pPr>
            <w:r>
              <w:rPr>
                <w:rFonts w:hint="eastAsia" w:ascii="宋体" w:hAnsi="宋体"/>
                <w:szCs w:val="21"/>
                <w:lang w:val="en-US" w:eastAsia="zh-CN"/>
              </w:rPr>
              <w:t>2.</w:t>
            </w:r>
            <w:r>
              <w:rPr>
                <w:rFonts w:hint="eastAsia" w:ascii="宋体" w:hAnsi="宋体"/>
                <w:szCs w:val="21"/>
              </w:rPr>
              <w:t>所投产品厂商具备TSM可信研发运营安全能力成熟度等级评估</w:t>
            </w:r>
            <w:r>
              <w:rPr>
                <w:rFonts w:hint="eastAsia" w:ascii="宋体" w:hAnsi="宋体"/>
                <w:szCs w:val="21"/>
                <w:lang w:val="en-US" w:eastAsia="zh-CN"/>
              </w:rPr>
              <w:t>增强级</w:t>
            </w:r>
            <w:r>
              <w:rPr>
                <w:rFonts w:hint="eastAsia" w:ascii="宋体" w:hAnsi="宋体"/>
                <w:szCs w:val="21"/>
              </w:rPr>
              <w:t>证书</w:t>
            </w:r>
            <w:r>
              <w:rPr>
                <w:rFonts w:hint="eastAsia" w:ascii="宋体" w:hAnsi="宋体"/>
                <w:szCs w:val="21"/>
                <w:lang w:eastAsia="zh-CN"/>
              </w:rPr>
              <w:t>，</w:t>
            </w:r>
            <w:r>
              <w:rPr>
                <w:rFonts w:hint="eastAsia" w:ascii="宋体" w:hAnsi="宋体"/>
                <w:szCs w:val="21"/>
              </w:rPr>
              <w:t>得</w:t>
            </w:r>
            <w:r>
              <w:rPr>
                <w:rFonts w:hint="eastAsia" w:ascii="宋体" w:hAnsi="宋体"/>
                <w:szCs w:val="21"/>
                <w:lang w:val="en-US" w:eastAsia="zh-CN"/>
              </w:rPr>
              <w:t>3</w:t>
            </w:r>
            <w:r>
              <w:rPr>
                <w:rFonts w:hint="eastAsia" w:ascii="宋体" w:hAnsi="宋体"/>
                <w:szCs w:val="21"/>
              </w:rPr>
              <w:t>分</w:t>
            </w:r>
            <w:r>
              <w:rPr>
                <w:rFonts w:hint="eastAsia" w:ascii="宋体" w:hAnsi="宋体"/>
                <w:szCs w:val="21"/>
                <w:lang w:eastAsia="zh-CN"/>
              </w:rPr>
              <w:t>。</w:t>
            </w:r>
          </w:p>
          <w:p>
            <w:pPr>
              <w:tabs>
                <w:tab w:val="left" w:pos="7854"/>
              </w:tabs>
              <w:spacing w:line="280" w:lineRule="exact"/>
            </w:pPr>
            <w:r>
              <w:rPr>
                <w:rFonts w:hint="eastAsia" w:ascii="宋体" w:hAnsi="宋体"/>
                <w:szCs w:val="21"/>
                <w:lang w:val="en-US" w:eastAsia="zh-CN"/>
              </w:rPr>
              <w:t>3.</w:t>
            </w:r>
            <w:r>
              <w:rPr>
                <w:rFonts w:hint="eastAsia" w:ascii="宋体" w:hAnsi="宋体"/>
                <w:szCs w:val="21"/>
              </w:rPr>
              <w:t>所投产品厂商具备CMMI-Level5</w:t>
            </w:r>
            <w:r>
              <w:rPr>
                <w:rFonts w:hint="eastAsia" w:ascii="宋体" w:hAnsi="宋体"/>
                <w:szCs w:val="21"/>
                <w:lang w:val="en-US" w:eastAsia="zh-CN"/>
              </w:rPr>
              <w:t>认证证书</w:t>
            </w:r>
            <w:r>
              <w:rPr>
                <w:rFonts w:hint="eastAsia" w:ascii="宋体" w:hAnsi="宋体"/>
                <w:szCs w:val="21"/>
                <w:lang w:eastAsia="zh-CN"/>
              </w:rPr>
              <w:t>，</w:t>
            </w:r>
            <w:r>
              <w:rPr>
                <w:rFonts w:hint="eastAsia" w:ascii="宋体" w:hAnsi="宋体"/>
                <w:szCs w:val="21"/>
              </w:rPr>
              <w:t>得</w:t>
            </w:r>
            <w:r>
              <w:rPr>
                <w:rFonts w:hint="eastAsia" w:ascii="宋体" w:hAnsi="宋体"/>
                <w:szCs w:val="21"/>
                <w:lang w:val="en-US" w:eastAsia="zh-CN"/>
              </w:rPr>
              <w:t>3</w:t>
            </w:r>
            <w:r>
              <w:rPr>
                <w:rFonts w:hint="eastAsia" w:ascii="宋体" w:hAnsi="宋体"/>
                <w:szCs w:val="21"/>
              </w:rPr>
              <w:t>分</w:t>
            </w:r>
            <w:r>
              <w:rPr>
                <w:rFonts w:hint="eastAsia" w:ascii="宋体" w:hAnsi="宋体"/>
                <w:szCs w:val="21"/>
                <w:lang w:eastAsia="zh-CN"/>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ascii="宋体"/>
                <w:szCs w:val="21"/>
              </w:rPr>
            </w:pPr>
            <w:r>
              <w:rPr>
                <w:rFonts w:hint="eastAsia" w:ascii="宋体" w:hAnsi="宋体" w:cs="宋体"/>
                <w:color w:val="000000"/>
                <w:kern w:val="0"/>
                <w:szCs w:val="21"/>
              </w:rPr>
              <w:t>参数</w:t>
            </w:r>
            <w:r>
              <w:rPr>
                <w:rFonts w:hint="eastAsia" w:ascii="宋体" w:hAnsi="宋体" w:cs="宋体"/>
                <w:color w:val="000000"/>
                <w:kern w:val="0"/>
                <w:szCs w:val="21"/>
                <w:lang w:val="zh-CN"/>
              </w:rPr>
              <w:t>要求</w:t>
            </w:r>
          </w:p>
        </w:tc>
        <w:tc>
          <w:tcPr>
            <w:tcW w:w="650" w:type="dxa"/>
            <w:tcBorders>
              <w:top w:val="single" w:color="auto" w:sz="4" w:space="0"/>
              <w:left w:val="single" w:color="auto" w:sz="4" w:space="0"/>
              <w:bottom w:val="nil"/>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50</w:t>
            </w:r>
          </w:p>
        </w:tc>
        <w:tc>
          <w:tcPr>
            <w:tcW w:w="6153" w:type="dxa"/>
            <w:tcBorders>
              <w:top w:val="single" w:color="auto" w:sz="4" w:space="0"/>
              <w:left w:val="single" w:color="auto" w:sz="4" w:space="0"/>
              <w:bottom w:val="nil"/>
              <w:right w:val="single" w:color="auto" w:sz="4" w:space="0"/>
            </w:tcBorders>
            <w:vAlign w:val="center"/>
          </w:tcPr>
          <w:p>
            <w:pPr>
              <w:tabs>
                <w:tab w:val="left" w:pos="7854"/>
              </w:tabs>
              <w:spacing w:line="280" w:lineRule="exact"/>
            </w:pPr>
            <w:r>
              <w:rPr>
                <w:rFonts w:hint="eastAsia" w:ascii="宋体" w:hAnsi="宋体"/>
                <w:szCs w:val="21"/>
              </w:rPr>
              <w:t>对技术协议书中产品指标（包括</w:t>
            </w:r>
            <w:r>
              <w:rPr>
                <w:rFonts w:hint="eastAsia" w:ascii="宋体" w:hAnsi="宋体"/>
                <w:szCs w:val="21"/>
                <w:lang w:val="en-US" w:eastAsia="zh-CN"/>
              </w:rPr>
              <w:t>产品彩页</w:t>
            </w:r>
            <w:r>
              <w:rPr>
                <w:rFonts w:hint="eastAsia" w:ascii="宋体" w:hAnsi="宋体"/>
                <w:szCs w:val="21"/>
              </w:rPr>
              <w:t>，功能截图，产品资质证书）进行评价：完全满足采购要求得</w:t>
            </w:r>
            <w:r>
              <w:rPr>
                <w:rFonts w:hint="eastAsia" w:ascii="宋体" w:hAnsi="宋体"/>
                <w:szCs w:val="21"/>
                <w:lang w:val="en-US" w:eastAsia="zh-CN"/>
              </w:rPr>
              <w:t>50</w:t>
            </w:r>
            <w:r>
              <w:rPr>
                <w:rFonts w:hint="eastAsia" w:ascii="宋体" w:hAnsi="宋体"/>
                <w:szCs w:val="21"/>
              </w:rPr>
              <w:t>分，每存在一条负偏离扣</w:t>
            </w:r>
            <w:r>
              <w:rPr>
                <w:rFonts w:hint="eastAsia" w:ascii="宋体" w:hAnsi="宋体"/>
                <w:szCs w:val="21"/>
                <w:lang w:val="en-US" w:eastAsia="zh-CN"/>
              </w:rPr>
              <w:t>5</w:t>
            </w:r>
            <w:r>
              <w:rPr>
                <w:rFonts w:hint="eastAsia" w:ascii="宋体" w:hAnsi="宋体"/>
                <w:szCs w:val="21"/>
              </w:rPr>
              <w:t>分，扣完为止。技术指标</w:t>
            </w:r>
            <w:r>
              <w:rPr>
                <w:rFonts w:hint="eastAsia" w:ascii="宋体" w:hAnsi="宋体"/>
                <w:szCs w:val="21"/>
                <w:lang w:val="en-US" w:eastAsia="zh-CN"/>
              </w:rPr>
              <w:t>需提供点对点应答，并提供产品彩页、功能截图、产品资质证书证明材料</w:t>
            </w:r>
            <w:r>
              <w:rPr>
                <w:rFonts w:hint="eastAsia" w:ascii="宋体" w:hAnsi="宋体"/>
                <w:szCs w:val="21"/>
              </w:rPr>
              <w:t>，不提供或提供材料不符的视为不满足。</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widowControl/>
              <w:spacing w:line="360" w:lineRule="auto"/>
              <w:jc w:val="center"/>
            </w:pPr>
            <w:r>
              <w:rPr>
                <w:rFonts w:hint="eastAsia" w:ascii="宋体" w:hAnsi="宋体" w:cs="宋体"/>
                <w:color w:val="000000"/>
                <w:kern w:val="0"/>
                <w:szCs w:val="21"/>
                <w:lang w:val="en-US" w:eastAsia="zh-CN"/>
              </w:rPr>
              <w:t>实施方案</w:t>
            </w:r>
          </w:p>
        </w:tc>
        <w:tc>
          <w:tcPr>
            <w:tcW w:w="650" w:type="dxa"/>
            <w:tcBorders>
              <w:top w:val="single" w:color="auto" w:sz="4" w:space="0"/>
              <w:left w:val="single" w:color="auto" w:sz="4" w:space="0"/>
              <w:bottom w:val="nil"/>
              <w:right w:val="single" w:color="auto" w:sz="4" w:space="0"/>
            </w:tcBorders>
            <w:vAlign w:val="center"/>
          </w:tcPr>
          <w:p>
            <w:pPr>
              <w:jc w:val="center"/>
              <w:rPr>
                <w:rFonts w:hint="default" w:eastAsia="宋体"/>
                <w:lang w:val="en-US" w:eastAsia="zh-CN"/>
              </w:rPr>
            </w:pPr>
            <w:r>
              <w:rPr>
                <w:rFonts w:hint="eastAsia"/>
                <w:lang w:val="en-US" w:eastAsia="zh-CN"/>
              </w:rPr>
              <w:t>10</w:t>
            </w:r>
          </w:p>
        </w:tc>
        <w:tc>
          <w:tcPr>
            <w:tcW w:w="6153" w:type="dxa"/>
            <w:tcBorders>
              <w:top w:val="single" w:color="auto" w:sz="4" w:space="0"/>
              <w:left w:val="single" w:color="auto" w:sz="4" w:space="0"/>
              <w:bottom w:val="nil"/>
              <w:right w:val="single" w:color="auto" w:sz="4" w:space="0"/>
            </w:tcBorders>
            <w:vAlign w:val="center"/>
          </w:tcPr>
          <w:p>
            <w:pPr>
              <w:widowControl/>
              <w:rPr>
                <w:rFonts w:hint="eastAsia" w:ascii="宋体" w:hAnsi="宋体"/>
                <w:szCs w:val="21"/>
              </w:rPr>
            </w:pPr>
            <w:r>
              <w:rPr>
                <w:rFonts w:hint="eastAsia" w:ascii="宋体" w:hAnsi="宋体"/>
                <w:szCs w:val="21"/>
              </w:rPr>
              <w:t>根据供应商提供的实施方案综合评审，方案编制规范、内容全面、措施合理；施工计划安排科学、实施阶段划分合理。方案较优得</w:t>
            </w:r>
            <w:r>
              <w:rPr>
                <w:rFonts w:hint="eastAsia" w:ascii="宋体" w:hAnsi="宋体"/>
                <w:szCs w:val="21"/>
                <w:lang w:val="en-US" w:eastAsia="zh-CN"/>
              </w:rPr>
              <w:t>8</w:t>
            </w:r>
            <w:r>
              <w:rPr>
                <w:rFonts w:hint="eastAsia" w:ascii="宋体" w:hAnsi="宋体"/>
                <w:szCs w:val="21"/>
              </w:rPr>
              <w:t>-</w:t>
            </w:r>
            <w:r>
              <w:rPr>
                <w:rFonts w:hint="eastAsia" w:ascii="宋体" w:hAnsi="宋体"/>
                <w:szCs w:val="21"/>
                <w:lang w:val="en-US" w:eastAsia="zh-CN"/>
              </w:rPr>
              <w:t>1</w:t>
            </w:r>
            <w:r>
              <w:rPr>
                <w:rFonts w:hint="eastAsia" w:ascii="宋体" w:hAnsi="宋体"/>
                <w:szCs w:val="21"/>
              </w:rPr>
              <w:t>0分；方案满足要求得</w:t>
            </w:r>
            <w:r>
              <w:rPr>
                <w:rFonts w:hint="eastAsia" w:ascii="宋体" w:hAnsi="宋体"/>
                <w:szCs w:val="21"/>
                <w:lang w:val="en-US" w:eastAsia="zh-CN"/>
              </w:rPr>
              <w:t>4</w:t>
            </w:r>
            <w:r>
              <w:rPr>
                <w:rFonts w:hint="eastAsia" w:ascii="宋体" w:hAnsi="宋体"/>
                <w:szCs w:val="21"/>
              </w:rPr>
              <w:t>-</w:t>
            </w:r>
            <w:r>
              <w:rPr>
                <w:rFonts w:hint="eastAsia" w:ascii="宋体" w:hAnsi="宋体"/>
                <w:szCs w:val="21"/>
                <w:lang w:val="en-US" w:eastAsia="zh-CN"/>
              </w:rPr>
              <w:t>7</w:t>
            </w:r>
            <w:r>
              <w:rPr>
                <w:rFonts w:hint="eastAsia" w:ascii="宋体" w:hAnsi="宋体"/>
                <w:szCs w:val="21"/>
              </w:rPr>
              <w:t>分；方案较差0-</w:t>
            </w:r>
            <w:r>
              <w:rPr>
                <w:rFonts w:hint="eastAsia" w:ascii="宋体" w:hAnsi="宋体"/>
                <w:szCs w:val="21"/>
                <w:lang w:val="en-US" w:eastAsia="zh-CN"/>
              </w:rPr>
              <w:t>3</w:t>
            </w:r>
            <w:r>
              <w:rPr>
                <w:rFonts w:hint="eastAsia" w:ascii="宋体" w:hAnsi="宋体"/>
                <w:szCs w:val="21"/>
              </w:rPr>
              <w:t>分。</w:t>
            </w:r>
          </w:p>
          <w:p>
            <w:pPr>
              <w:pStyle w:val="147"/>
            </w:pPr>
            <w:r>
              <w:rPr>
                <w:rFonts w:hint="eastAsia" w:ascii="宋体" w:hAnsi="宋体"/>
                <w:szCs w:val="21"/>
              </w:rPr>
              <w:t>注：供应商应制订详细的实施工作计划，项目实施方案包括实施阶段的划分，各阶段实施目标和评估时间表和完整的软硬件设备到货、验收、策略部署与测试、验收方案等内容。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60" w:lineRule="auto"/>
              <w:jc w:val="center"/>
              <w:rPr>
                <w:rFonts w:hint="eastAsia" w:ascii="Times New Roman" w:hAnsi="Times New Roman" w:eastAsia="宋体" w:cs="Times New Roman"/>
                <w:kern w:val="2"/>
                <w:sz w:val="21"/>
                <w:lang w:val="en-US" w:eastAsia="zh-CN" w:bidi="ar-SA"/>
              </w:rPr>
            </w:pPr>
            <w:r>
              <w:rPr>
                <w:rFonts w:hint="eastAsia" w:ascii="宋体" w:hAnsi="宋体" w:cs="宋体"/>
                <w:color w:val="000000"/>
                <w:kern w:val="0"/>
                <w:szCs w:val="21"/>
                <w:lang w:val="en-US" w:eastAsia="zh-CN"/>
              </w:rPr>
              <w:t>培训方案</w:t>
            </w:r>
          </w:p>
        </w:tc>
        <w:tc>
          <w:tcPr>
            <w:tcW w:w="650" w:type="dxa"/>
            <w:tcBorders>
              <w:top w:val="single" w:color="auto" w:sz="4" w:space="0"/>
              <w:left w:val="single" w:color="auto" w:sz="4" w:space="0"/>
              <w:bottom w:val="nil"/>
              <w:right w:val="single" w:color="auto" w:sz="4" w:space="0"/>
            </w:tcBorders>
            <w:shd w:val="clear" w:color="auto" w:fill="auto"/>
            <w:vAlign w:val="center"/>
          </w:tcPr>
          <w:p>
            <w:pPr>
              <w:jc w:val="center"/>
              <w:rPr>
                <w:rFonts w:hint="eastAsia" w:ascii="宋体" w:hAnsi="Times New Roman" w:eastAsia="宋体" w:cs="Times New Roman"/>
                <w:kern w:val="2"/>
                <w:sz w:val="21"/>
                <w:lang w:val="en-US" w:eastAsia="zh-CN" w:bidi="ar-SA"/>
              </w:rPr>
            </w:pPr>
            <w:r>
              <w:rPr>
                <w:rFonts w:hint="eastAsia" w:ascii="宋体"/>
                <w:lang w:val="en-US" w:eastAsia="zh-CN"/>
              </w:rPr>
              <w:t>4</w:t>
            </w:r>
          </w:p>
        </w:tc>
        <w:tc>
          <w:tcPr>
            <w:tcW w:w="6153" w:type="dxa"/>
            <w:tcBorders>
              <w:top w:val="single" w:color="auto" w:sz="4" w:space="0"/>
              <w:left w:val="single" w:color="auto" w:sz="4" w:space="0"/>
              <w:bottom w:val="nil"/>
              <w:right w:val="single" w:color="auto" w:sz="4" w:space="0"/>
            </w:tcBorders>
            <w:shd w:val="clear" w:color="auto" w:fill="auto"/>
            <w:vAlign w:val="center"/>
          </w:tcPr>
          <w:p>
            <w:pPr>
              <w:pStyle w:val="147"/>
              <w:rPr>
                <w:rFonts w:hint="eastAsia" w:ascii="宋体" w:hAnsi="宋体" w:eastAsia="宋体" w:cs="Times New Roman"/>
                <w:kern w:val="2"/>
                <w:sz w:val="21"/>
                <w:szCs w:val="30"/>
                <w:lang w:val="en-US" w:eastAsia="zh-CN" w:bidi="ar-SA"/>
              </w:rPr>
            </w:pPr>
            <w:r>
              <w:rPr>
                <w:rFonts w:hint="eastAsia" w:ascii="宋体" w:hAnsi="宋体"/>
                <w:szCs w:val="21"/>
              </w:rPr>
              <w:t>承诺提供专业的</w:t>
            </w:r>
            <w:r>
              <w:rPr>
                <w:rFonts w:hint="eastAsia"/>
                <w:szCs w:val="21"/>
                <w:lang w:val="en-US" w:eastAsia="zh-CN"/>
              </w:rPr>
              <w:t>设备使用</w:t>
            </w:r>
            <w:r>
              <w:rPr>
                <w:rFonts w:hint="eastAsia" w:ascii="宋体" w:hAnsi="宋体"/>
                <w:szCs w:val="21"/>
              </w:rPr>
              <w:t>相关培训，需说明培训形式、时间、人数。根据培训</w:t>
            </w:r>
            <w:r>
              <w:rPr>
                <w:rFonts w:hint="eastAsia"/>
                <w:szCs w:val="21"/>
                <w:lang w:val="en-US" w:eastAsia="zh-CN"/>
              </w:rPr>
              <w:t>次数，</w:t>
            </w:r>
            <w:r>
              <w:rPr>
                <w:rFonts w:hint="eastAsia" w:ascii="宋体" w:hAnsi="宋体"/>
                <w:szCs w:val="21"/>
              </w:rPr>
              <w:t>每</w:t>
            </w:r>
            <w:r>
              <w:rPr>
                <w:rFonts w:hint="eastAsia"/>
                <w:szCs w:val="21"/>
                <w:lang w:val="en-US" w:eastAsia="zh-CN"/>
              </w:rPr>
              <w:t>提供一次培训得2分</w:t>
            </w:r>
            <w:r>
              <w:rPr>
                <w:rFonts w:hint="eastAsia" w:ascii="宋体" w:hAnsi="宋体"/>
                <w:szCs w:val="21"/>
              </w:rPr>
              <w:t>，最高4分。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60" w:lineRule="auto"/>
              <w:jc w:val="center"/>
              <w:rPr>
                <w:rFonts w:hint="default" w:ascii="宋体" w:hAnsi="宋体" w:eastAsia="宋体" w:cs="宋体"/>
                <w:color w:val="000000"/>
                <w:kern w:val="0"/>
                <w:sz w:val="21"/>
                <w:szCs w:val="21"/>
                <w:lang w:val="en-US" w:eastAsia="zh-CN" w:bidi="ar-SA"/>
              </w:rPr>
            </w:pPr>
            <w:r>
              <w:rPr>
                <w:rFonts w:hint="eastAsia" w:ascii="宋体" w:hAnsi="宋体" w:cs="宋体"/>
                <w:color w:val="000000"/>
                <w:kern w:val="0"/>
                <w:szCs w:val="21"/>
                <w:lang w:val="en-US" w:eastAsia="zh-CN"/>
              </w:rPr>
              <w:t>服务团队</w:t>
            </w:r>
          </w:p>
        </w:tc>
        <w:tc>
          <w:tcPr>
            <w:tcW w:w="650" w:type="dxa"/>
            <w:tcBorders>
              <w:top w:val="single" w:color="auto" w:sz="4" w:space="0"/>
              <w:left w:val="single" w:color="auto" w:sz="4" w:space="0"/>
              <w:bottom w:val="nil"/>
              <w:right w:val="single" w:color="auto" w:sz="4" w:space="0"/>
            </w:tcBorders>
            <w:shd w:val="clear" w:color="auto" w:fill="auto"/>
            <w:vAlign w:val="center"/>
          </w:tcPr>
          <w:p>
            <w:pPr>
              <w:jc w:val="center"/>
              <w:rPr>
                <w:rFonts w:hint="default" w:ascii="宋体" w:hAnsi="Times New Roman" w:eastAsia="宋体" w:cs="Times New Roman"/>
                <w:kern w:val="2"/>
                <w:sz w:val="21"/>
                <w:lang w:val="en-US" w:eastAsia="zh-CN" w:bidi="ar-SA"/>
              </w:rPr>
            </w:pPr>
            <w:r>
              <w:rPr>
                <w:rFonts w:hint="eastAsia" w:ascii="宋体"/>
                <w:lang w:val="en-US" w:eastAsia="zh-CN"/>
              </w:rPr>
              <w:t>6</w:t>
            </w:r>
          </w:p>
        </w:tc>
        <w:tc>
          <w:tcPr>
            <w:tcW w:w="6153" w:type="dxa"/>
            <w:tcBorders>
              <w:top w:val="single" w:color="auto" w:sz="4" w:space="0"/>
              <w:left w:val="single" w:color="auto" w:sz="4" w:space="0"/>
              <w:bottom w:val="nil"/>
              <w:right w:val="single" w:color="auto" w:sz="4" w:space="0"/>
            </w:tcBorders>
            <w:shd w:val="clear" w:color="auto" w:fill="auto"/>
            <w:vAlign w:val="center"/>
          </w:tcPr>
          <w:p>
            <w:pPr>
              <w:pStyle w:val="147"/>
              <w:rPr>
                <w:rFonts w:ascii="宋体" w:hAnsi="宋体" w:eastAsia="宋体" w:cs="Times New Roman"/>
                <w:kern w:val="2"/>
                <w:sz w:val="21"/>
                <w:szCs w:val="30"/>
                <w:lang w:val="en-US" w:eastAsia="zh-CN" w:bidi="ar-SA"/>
              </w:rPr>
            </w:pPr>
            <w:r>
              <w:rPr>
                <w:rFonts w:hint="eastAsia" w:ascii="宋体" w:hAnsi="宋体"/>
                <w:szCs w:val="21"/>
              </w:rPr>
              <w:t>根据供应商提供的项目实施团队，服务和响应支持能力、数量、管理措施及山东区域人员服务和支持能力等情况进行打分，服务及支持能力较优得5-6分；满足基本要求得3-4分；支持能力较差的0-2分。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rPr>
            </w:pPr>
            <w:r>
              <w:rPr>
                <w:rFonts w:hint="eastAsia" w:ascii="宋体" w:hAnsi="宋体"/>
              </w:rPr>
              <w:t>备注：</w:t>
            </w:r>
          </w:p>
          <w:p>
            <w:pPr>
              <w:rPr>
                <w:rFonts w:ascii="宋体"/>
              </w:rPr>
            </w:pPr>
            <w:r>
              <w:rPr>
                <w:rFonts w:hint="eastAsia" w:ascii="宋体" w:hAnsi="宋体"/>
              </w:rPr>
              <w:t>1、通过初审者为有效投标。</w:t>
            </w:r>
          </w:p>
          <w:p>
            <w:pPr>
              <w:rPr>
                <w:rFonts w:hint="eastAsia" w:ascii="宋体" w:hAnsi="宋体"/>
              </w:rPr>
            </w:pPr>
            <w:r>
              <w:rPr>
                <w:rFonts w:hint="eastAsia" w:ascii="宋体" w:hAnsi="宋体"/>
                <w:lang w:val="en-US" w:eastAsia="zh-CN"/>
              </w:rPr>
              <w:t>2</w:t>
            </w:r>
            <w:r>
              <w:rPr>
                <w:rFonts w:hint="eastAsia" w:ascii="宋体" w:hAnsi="宋体"/>
              </w:rPr>
              <w:t>、评委打分超过得分界限或未按本方法赋分时，该评委的打分按废票处理。</w:t>
            </w:r>
          </w:p>
          <w:p>
            <w:pPr>
              <w:rPr>
                <w:rFonts w:ascii="宋体"/>
                <w:szCs w:val="21"/>
              </w:rPr>
            </w:pPr>
            <w:r>
              <w:rPr>
                <w:rFonts w:hint="eastAsia" w:ascii="宋体" w:hAnsi="宋体"/>
                <w:lang w:val="en-US" w:eastAsia="zh-CN"/>
              </w:rPr>
              <w:t>3</w:t>
            </w: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p>
      <w:pPr>
        <w:pStyle w:val="13"/>
        <w:numPr>
          <w:ilvl w:val="0"/>
          <w:numId w:val="0"/>
        </w:numPr>
        <w:rPr>
          <w:rFonts w:hint="eastAsia" w:ascii="宋体" w:hAnsi="宋体" w:eastAsia="宋体" w:cs="宋体"/>
          <w:sz w:val="21"/>
          <w:szCs w:val="21"/>
          <w:lang w:val="en-US" w:eastAsia="zh-CN"/>
        </w:rPr>
      </w:pPr>
    </w:p>
    <w:p>
      <w:pPr>
        <w:pStyle w:val="148"/>
      </w:pPr>
      <w:r>
        <w:rPr>
          <w:rFonts w:hint="eastAsia"/>
          <w:lang w:val="en-US" w:eastAsia="zh-CN"/>
        </w:rPr>
        <w:t>定标</w:t>
      </w:r>
    </w:p>
    <w:p>
      <w:pPr>
        <w:pStyle w:val="148"/>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outlineLvl w:val="9"/>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pPr>
        <w:pStyle w:val="148"/>
      </w:pPr>
      <w:r>
        <w:rPr>
          <w:rFonts w:hint="eastAsia"/>
          <w:lang w:val="en-US" w:eastAsia="zh-CN"/>
        </w:rPr>
        <w:t>废标及终止招标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148"/>
      </w:pPr>
      <w:r>
        <w:rPr>
          <w:rFonts w:hint="eastAsia"/>
          <w:lang w:val="en-US" w:eastAsia="zh-CN"/>
        </w:rPr>
        <w:t>合同签订</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pPr>
        <w:pStyle w:val="148"/>
      </w:pPr>
      <w:r>
        <w:rPr>
          <w:rFonts w:hint="eastAsia"/>
          <w:lang w:val="en-US" w:eastAsia="zh-CN"/>
        </w:rPr>
        <w:t>交货及付款</w:t>
      </w:r>
    </w:p>
    <w:p>
      <w:pPr>
        <w:pStyle w:val="148"/>
        <w:numPr>
          <w:ilvl w:val="0"/>
          <w:numId w:val="18"/>
        </w:numPr>
        <w:ind w:left="425" w:leftChars="0" w:hanging="425" w:firstLineChars="0"/>
        <w:outlineLvl w:val="9"/>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交货期：自合同签定生效之日起，30个日历日之内设备交货至供货地点；连续 30个日历日之内</w:t>
      </w:r>
    </w:p>
    <w:p>
      <w:pPr>
        <w:pStyle w:val="148"/>
        <w:numPr>
          <w:ilvl w:val="0"/>
          <w:numId w:val="0"/>
        </w:numPr>
        <w:ind w:leftChars="0"/>
        <w:outlineLvl w:val="9"/>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安装调试完毕。安装调试工期超过规定时间的，投标人应当随标书提供详细的工期计划</w:t>
      </w:r>
    </w:p>
    <w:p>
      <w:pPr>
        <w:pStyle w:val="148"/>
        <w:numPr>
          <w:ilvl w:val="0"/>
          <w:numId w:val="18"/>
        </w:numPr>
        <w:ind w:left="425" w:leftChars="0" w:hanging="425" w:firstLineChars="0"/>
        <w:outlineLvl w:val="9"/>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交货地点：重汽IDC机房。</w:t>
      </w:r>
    </w:p>
    <w:p>
      <w:pPr>
        <w:pStyle w:val="148"/>
        <w:numPr>
          <w:ilvl w:val="0"/>
          <w:numId w:val="18"/>
        </w:numPr>
        <w:ind w:left="425" w:leftChars="0" w:hanging="425" w:firstLineChars="0"/>
        <w:outlineLvl w:val="9"/>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交货方式：交钥匙方式</w:t>
      </w:r>
    </w:p>
    <w:p>
      <w:pPr>
        <w:pStyle w:val="148"/>
        <w:numPr>
          <w:ilvl w:val="0"/>
          <w:numId w:val="18"/>
        </w:numPr>
        <w:ind w:left="425" w:leftChars="0" w:hanging="425" w:firstLineChars="0"/>
        <w:outlineLvl w:val="9"/>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pPr>
        <w:pStyle w:val="148"/>
        <w:numPr>
          <w:ilvl w:val="0"/>
          <w:numId w:val="19"/>
        </w:numPr>
        <w:tabs>
          <w:tab w:val="clear" w:pos="-108"/>
        </w:tabs>
        <w:ind w:left="59" w:leftChars="0" w:firstLine="0" w:firstLineChars="0"/>
        <w:outlineLvl w:val="9"/>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pPr>
        <w:pStyle w:val="148"/>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outlineLvl w:val="9"/>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pPr>
        <w:pStyle w:val="129"/>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pPr>
        <w:pStyle w:val="148"/>
        <w:rPr>
          <w:rFonts w:hint="eastAsia"/>
          <w:lang w:val="en-US" w:eastAsia="zh-CN"/>
        </w:rPr>
      </w:pPr>
      <w:r>
        <w:rPr>
          <w:rFonts w:hint="eastAsia"/>
          <w:lang w:val="en-US" w:eastAsia="zh-CN"/>
        </w:rPr>
        <w:t>质保金</w:t>
      </w:r>
    </w:p>
    <w:p>
      <w:pPr>
        <w:pStyle w:val="148"/>
        <w:numPr>
          <w:ilvl w:val="0"/>
          <w:numId w:val="0"/>
        </w:numPr>
        <w:ind w:leftChars="0"/>
        <w:outlineLvl w:val="9"/>
        <w:rPr>
          <w:rFonts w:hint="eastAsia"/>
          <w:lang w:val="en-US" w:eastAsia="zh-CN"/>
        </w:rPr>
      </w:pPr>
      <w:r>
        <w:rPr>
          <w:rFonts w:hint="eastAsia" w:ascii="仿宋_GB2312" w:hAnsi="仿宋_GB2312" w:eastAsia="仿宋_GB2312" w:cs="仿宋_GB2312"/>
          <w:color w:val="000000"/>
          <w:sz w:val="24"/>
          <w:szCs w:val="24"/>
          <w:highlight w:val="yellow"/>
        </w:rPr>
        <w:t>合同总价款的10%作为本合同约定设备的质量保证金，质量保证金在质量保证期内不计利息。待每套合同设备质量保证期满，中标人向招标人提交金额为合同价款</w:t>
      </w:r>
      <w:r>
        <w:rPr>
          <w:rFonts w:hint="eastAsia" w:ascii="仿宋_GB2312" w:hAnsi="仿宋_GB2312" w:eastAsia="仿宋_GB2312" w:cs="仿宋_GB2312"/>
          <w:b/>
          <w:bCs/>
          <w:color w:val="000000"/>
          <w:sz w:val="24"/>
          <w:szCs w:val="24"/>
          <w:highlight w:val="yellow"/>
        </w:rPr>
        <w:t>10%</w:t>
      </w:r>
      <w:r>
        <w:rPr>
          <w:rFonts w:hint="eastAsia" w:ascii="仿宋_GB2312" w:hAnsi="仿宋_GB2312" w:eastAsia="仿宋_GB2312" w:cs="仿宋_GB2312"/>
          <w:color w:val="000000"/>
          <w:sz w:val="24"/>
          <w:szCs w:val="24"/>
          <w:highlight w:val="yellow"/>
        </w:rPr>
        <w:t>的收据（正本一份，复印件二份）及设备使用单位的使用情况说明，经招标人依照财务制度审核无误后</w:t>
      </w:r>
      <w:r>
        <w:rPr>
          <w:rFonts w:hint="eastAsia" w:ascii="仿宋_GB2312" w:hAnsi="仿宋_GB2312" w:eastAsia="仿宋_GB2312" w:cs="仿宋_GB2312"/>
          <w:color w:val="000000"/>
          <w:sz w:val="24"/>
          <w:szCs w:val="24"/>
          <w:highlight w:val="yellow"/>
          <w:lang w:val="en-US" w:eastAsia="zh-CN"/>
        </w:rPr>
        <w:t>支付</w:t>
      </w:r>
      <w:r>
        <w:rPr>
          <w:rFonts w:hint="eastAsia" w:ascii="仿宋_GB2312" w:hAnsi="仿宋_GB2312" w:eastAsia="仿宋_GB2312" w:cs="仿宋_GB2312"/>
          <w:color w:val="000000"/>
          <w:sz w:val="24"/>
          <w:szCs w:val="24"/>
          <w:highlight w:val="yellow"/>
        </w:rPr>
        <w:t>。如有质量问题，质量保证金予以相应扣除</w:t>
      </w:r>
      <w:r>
        <w:rPr>
          <w:rFonts w:hint="eastAsia" w:ascii="宋体" w:hAnsi="宋体" w:eastAsia="宋体" w:cs="宋体"/>
          <w:b w:val="0"/>
          <w:bCs w:val="0"/>
          <w:kern w:val="2"/>
          <w:sz w:val="21"/>
          <w:szCs w:val="21"/>
          <w:lang w:val="en-US" w:eastAsia="zh-CN" w:bidi="ar-SA"/>
        </w:rPr>
        <w:t>。</w:t>
      </w:r>
    </w:p>
    <w:p>
      <w:pPr>
        <w:outlineLvl w:val="9"/>
      </w:pPr>
      <w:r>
        <w:rPr>
          <w:rFonts w:hint="eastAsia"/>
          <w:lang w:val="en-US" w:eastAsia="zh-CN"/>
        </w:rPr>
        <w:t>本次招标最终解释权归中国重汽集团</w:t>
      </w:r>
      <w:r>
        <w:rPr>
          <w:rFonts w:hint="eastAsia"/>
          <w:u w:val="single"/>
          <w:lang w:val="en-US" w:eastAsia="zh-CN"/>
        </w:rPr>
        <w:t xml:space="preserve">    济南动力   </w:t>
      </w:r>
      <w:r>
        <w:rPr>
          <w:rFonts w:hint="eastAsia"/>
          <w:lang w:val="en-US" w:eastAsia="zh-CN"/>
        </w:rPr>
        <w:t>有限公司。</w:t>
      </w:r>
    </w:p>
    <w:p>
      <w:pPr>
        <w:adjustRightInd w:val="0"/>
        <w:snapToGrid w:val="0"/>
        <w:spacing w:line="360" w:lineRule="auto"/>
        <w:jc w:val="left"/>
        <w:rPr>
          <w:rFonts w:hint="eastAsia" w:ascii="宋体" w:hAnsi="宋体"/>
          <w:sz w:val="20"/>
          <w:szCs w:val="20"/>
        </w:rPr>
      </w:pPr>
    </w:p>
    <w:p>
      <w:pPr>
        <w:rPr>
          <w:rFonts w:hint="eastAsia" w:eastAsia="仿宋" w:cs="Times New Roman"/>
          <w:b/>
          <w:szCs w:val="21"/>
        </w:rPr>
      </w:pPr>
    </w:p>
    <w:p>
      <w:pPr>
        <w:pStyle w:val="145"/>
        <w:jc w:val="center"/>
        <w:outlineLvl w:val="0"/>
        <w:rPr>
          <w:rFonts w:hint="default" w:eastAsia="黑体"/>
          <w:lang w:val="en-US" w:eastAsia="zh-CN"/>
        </w:rPr>
      </w:pPr>
      <w:r>
        <w:rPr>
          <w:rFonts w:hint="eastAsia"/>
        </w:rPr>
        <w:t>第</w:t>
      </w:r>
      <w:r>
        <w:rPr>
          <w:rFonts w:hint="eastAsia"/>
          <w:lang w:val="en-US" w:eastAsia="zh-CN"/>
        </w:rPr>
        <w:t>三</w:t>
      </w:r>
      <w:r>
        <w:rPr>
          <w:rFonts w:hint="eastAsia"/>
        </w:rPr>
        <w:t>部分</w:t>
      </w:r>
      <w:r>
        <w:rPr>
          <w:rFonts w:hint="eastAsia"/>
          <w:lang w:val="en-US" w:eastAsia="zh-CN"/>
        </w:rPr>
        <w:t xml:space="preserve"> 技术标书</w:t>
      </w:r>
    </w:p>
    <w:p>
      <w:pPr>
        <w:pStyle w:val="146"/>
        <w:rPr>
          <w:b/>
          <w:bCs/>
        </w:rPr>
      </w:pPr>
    </w:p>
    <w:p>
      <w:pPr>
        <w:pStyle w:val="146"/>
        <w:rPr>
          <w:b/>
          <w:bCs/>
        </w:rPr>
      </w:pPr>
    </w:p>
    <w:p>
      <w:pPr>
        <w:pStyle w:val="146"/>
        <w:rPr>
          <w:b/>
          <w:bCs/>
        </w:rPr>
      </w:pPr>
    </w:p>
    <w:p>
      <w:pPr>
        <w:pStyle w:val="146"/>
        <w:rPr>
          <w:b/>
          <w:bCs/>
        </w:rPr>
      </w:pPr>
    </w:p>
    <w:p>
      <w:pPr>
        <w:pStyle w:val="146"/>
        <w:rPr>
          <w:b/>
          <w:bCs/>
        </w:rPr>
      </w:pPr>
    </w:p>
    <w:p>
      <w:pPr>
        <w:pStyle w:val="146"/>
        <w:rPr>
          <w:b/>
          <w:bCs/>
        </w:rPr>
      </w:pPr>
    </w:p>
    <w:p>
      <w:pPr>
        <w:spacing w:line="480" w:lineRule="exact"/>
        <w:ind w:left="1600" w:firstLine="0" w:firstLineChars="0"/>
        <w:jc w:val="left"/>
        <w:rPr>
          <w:rFonts w:hint="eastAsia" w:ascii="仿宋_GB2312" w:hAnsi="仿宋_GB2312" w:eastAsia="仿宋_GB2312" w:cs="仿宋_GB2312"/>
          <w:bCs/>
          <w:sz w:val="32"/>
          <w:szCs w:val="32"/>
          <w:u w:val="single"/>
        </w:rPr>
      </w:pPr>
      <w:r>
        <w:rPr>
          <w:rFonts w:hint="eastAsia" w:ascii="仿宋_GB2312" w:hAnsi="仿宋_GB2312" w:eastAsia="仿宋_GB2312" w:cs="仿宋_GB2312"/>
          <w:sz w:val="32"/>
          <w:szCs w:val="32"/>
        </w:rPr>
        <w:t>项目名称：</w:t>
      </w:r>
      <w:r>
        <w:rPr>
          <w:rFonts w:hint="eastAsia" w:ascii="仿宋_GB2312" w:hAnsi="仿宋_GB2312" w:eastAsia="仿宋_GB2312" w:cs="仿宋_GB2312"/>
          <w:bCs/>
          <w:sz w:val="32"/>
          <w:szCs w:val="32"/>
          <w:u w:val="single"/>
          <w:lang w:val="en-US" w:eastAsia="zh-CN"/>
        </w:rPr>
        <w:t>HTTPS加密流量检测设备建设项目</w:t>
      </w:r>
    </w:p>
    <w:p>
      <w:pPr>
        <w:spacing w:line="480" w:lineRule="exact"/>
        <w:jc w:val="left"/>
        <w:rPr>
          <w:rFonts w:hint="eastAsia" w:ascii="仿宋_GB2312" w:hAnsi="仿宋_GB2312" w:eastAsia="仿宋_GB2312" w:cs="仿宋_GB2312"/>
          <w:sz w:val="32"/>
          <w:szCs w:val="32"/>
        </w:rPr>
      </w:pPr>
    </w:p>
    <w:p>
      <w:pPr>
        <w:spacing w:line="480" w:lineRule="exact"/>
        <w:ind w:firstLine="377" w:firstLineChars="118"/>
        <w:jc w:val="left"/>
        <w:rPr>
          <w:rFonts w:hint="eastAsia" w:ascii="仿宋_GB2312" w:hAnsi="仿宋_GB2312" w:eastAsia="仿宋_GB2312" w:cs="仿宋_GB2312"/>
          <w:sz w:val="32"/>
          <w:szCs w:val="32"/>
        </w:rPr>
      </w:pPr>
    </w:p>
    <w:p>
      <w:pPr>
        <w:spacing w:line="480" w:lineRule="exact"/>
        <w:ind w:left="1260" w:leftChars="0" w:firstLine="960" w:firstLineChars="300"/>
        <w:jc w:val="left"/>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rPr>
        <w:t>货物名称：</w:t>
      </w:r>
      <w:r>
        <w:rPr>
          <w:rFonts w:hint="eastAsia" w:ascii="仿宋_GB2312" w:hAnsi="仿宋_GB2312" w:eastAsia="仿宋_GB2312" w:cs="仿宋_GB2312"/>
          <w:bCs/>
          <w:sz w:val="32"/>
          <w:szCs w:val="32"/>
          <w:u w:val="single"/>
          <w:lang w:val="en-US" w:eastAsia="zh-CN"/>
        </w:rPr>
        <w:t>HTTPS加密流量检测设备</w:t>
      </w:r>
    </w:p>
    <w:p>
      <w:pPr>
        <w:spacing w:line="480" w:lineRule="exact"/>
        <w:ind w:firstLine="377" w:firstLineChars="118"/>
        <w:jc w:val="left"/>
        <w:rPr>
          <w:rFonts w:hint="eastAsia" w:ascii="仿宋_GB2312" w:hAnsi="仿宋_GB2312" w:eastAsia="仿宋_GB2312" w:cs="仿宋_GB2312"/>
          <w:sz w:val="32"/>
          <w:szCs w:val="32"/>
          <w:u w:val="single"/>
        </w:rPr>
      </w:pPr>
    </w:p>
    <w:p>
      <w:pPr>
        <w:pStyle w:val="15"/>
        <w:rPr>
          <w:rFonts w:hint="eastAsia" w:ascii="仿宋_GB2312" w:hAnsi="仿宋_GB2312" w:eastAsia="仿宋_GB2312" w:cs="仿宋_GB2312"/>
          <w:sz w:val="32"/>
          <w:szCs w:val="32"/>
          <w:u w:val="single"/>
        </w:rPr>
      </w:pPr>
    </w:p>
    <w:p>
      <w:pPr>
        <w:pStyle w:val="15"/>
        <w:rPr>
          <w:rFonts w:hint="eastAsia" w:ascii="仿宋_GB2312" w:hAnsi="仿宋_GB2312" w:eastAsia="仿宋_GB2312" w:cs="仿宋_GB2312"/>
          <w:sz w:val="32"/>
          <w:szCs w:val="32"/>
          <w:u w:val="single"/>
        </w:rPr>
      </w:pPr>
    </w:p>
    <w:p>
      <w:pPr>
        <w:pStyle w:val="15"/>
        <w:rPr>
          <w:rFonts w:hint="eastAsia" w:ascii="仿宋_GB2312" w:hAnsi="仿宋_GB2312" w:eastAsia="仿宋_GB2312" w:cs="仿宋_GB2312"/>
          <w:sz w:val="32"/>
          <w:szCs w:val="32"/>
          <w:u w:val="single"/>
        </w:rPr>
      </w:pPr>
    </w:p>
    <w:p>
      <w:pPr>
        <w:pStyle w:val="15"/>
        <w:rPr>
          <w:rFonts w:hint="eastAsia" w:ascii="仿宋_GB2312" w:hAnsi="仿宋_GB2312" w:eastAsia="仿宋_GB2312" w:cs="仿宋_GB2312"/>
          <w:sz w:val="32"/>
          <w:szCs w:val="32"/>
          <w:u w:val="single"/>
        </w:rPr>
      </w:pPr>
    </w:p>
    <w:p>
      <w:pPr>
        <w:pStyle w:val="15"/>
        <w:rPr>
          <w:rFonts w:hint="eastAsia" w:ascii="仿宋_GB2312" w:hAnsi="仿宋_GB2312" w:eastAsia="仿宋_GB2312" w:cs="仿宋_GB2312"/>
          <w:sz w:val="32"/>
          <w:szCs w:val="32"/>
          <w:u w:val="single"/>
        </w:rPr>
      </w:pPr>
    </w:p>
    <w:p>
      <w:pPr>
        <w:pStyle w:val="15"/>
        <w:jc w:val="center"/>
        <w:rPr>
          <w:rFonts w:hint="eastAsia" w:ascii="仿宋_GB2312" w:hAnsi="仿宋_GB2312" w:eastAsia="仿宋_GB2312" w:cs="仿宋_GB2312"/>
          <w:b/>
          <w:bCs/>
          <w:sz w:val="36"/>
          <w:szCs w:val="36"/>
          <w:u w:val="none"/>
          <w:lang w:val="en-US" w:eastAsia="zh-CN"/>
        </w:rPr>
      </w:pPr>
      <w:r>
        <w:rPr>
          <w:rFonts w:hint="eastAsia" w:ascii="仿宋_GB2312" w:hAnsi="仿宋_GB2312" w:eastAsia="仿宋_GB2312" w:cs="仿宋_GB2312"/>
          <w:b/>
          <w:bCs/>
          <w:sz w:val="36"/>
          <w:szCs w:val="36"/>
          <w:u w:val="none"/>
          <w:lang w:eastAsia="zh-CN"/>
        </w:rPr>
        <w:t>（</w:t>
      </w:r>
      <w:r>
        <w:rPr>
          <w:rFonts w:hint="eastAsia" w:ascii="仿宋_GB2312" w:hAnsi="仿宋_GB2312" w:eastAsia="仿宋_GB2312" w:cs="仿宋_GB2312"/>
          <w:b/>
          <w:bCs/>
          <w:sz w:val="36"/>
          <w:szCs w:val="36"/>
          <w:u w:val="none"/>
          <w:lang w:val="en-US" w:eastAsia="zh-CN"/>
        </w:rPr>
        <w:t>技术标书）</w:t>
      </w:r>
    </w:p>
    <w:p>
      <w:pPr>
        <w:pStyle w:val="15"/>
        <w:jc w:val="center"/>
        <w:rPr>
          <w:rFonts w:hint="eastAsia" w:ascii="仿宋_GB2312" w:hAnsi="仿宋_GB2312" w:eastAsia="仿宋_GB2312" w:cs="仿宋_GB2312"/>
          <w:b/>
          <w:bCs/>
          <w:sz w:val="36"/>
          <w:szCs w:val="36"/>
          <w:u w:val="none"/>
          <w:lang w:val="en-US" w:eastAsia="zh-CN"/>
        </w:rPr>
      </w:pPr>
    </w:p>
    <w:p>
      <w:pPr>
        <w:pStyle w:val="15"/>
        <w:jc w:val="center"/>
        <w:rPr>
          <w:rFonts w:hint="eastAsia" w:ascii="仿宋_GB2312" w:hAnsi="仿宋_GB2312" w:eastAsia="仿宋_GB2312" w:cs="仿宋_GB2312"/>
          <w:b/>
          <w:bCs/>
          <w:sz w:val="36"/>
          <w:szCs w:val="36"/>
          <w:u w:val="none"/>
          <w:lang w:val="en-US" w:eastAsia="zh-CN"/>
        </w:rPr>
      </w:pPr>
    </w:p>
    <w:p>
      <w:pPr>
        <w:pStyle w:val="15"/>
        <w:jc w:val="center"/>
        <w:rPr>
          <w:rFonts w:hint="eastAsia" w:ascii="仿宋_GB2312" w:hAnsi="仿宋_GB2312" w:eastAsia="仿宋_GB2312" w:cs="仿宋_GB2312"/>
        </w:rPr>
        <w:sectPr>
          <w:headerReference r:id="rId7" w:type="default"/>
          <w:footerReference r:id="rId8" w:type="default"/>
          <w:pgSz w:w="11906" w:h="16838"/>
          <w:pgMar w:top="1440" w:right="1080" w:bottom="1440" w:left="1080" w:header="1021" w:footer="680" w:gutter="0"/>
          <w:pgNumType w:start="1" w:chapStyle="1"/>
          <w:cols w:space="720" w:num="1"/>
          <w:docGrid w:type="lines" w:linePitch="326" w:charSpace="0"/>
        </w:sectPr>
      </w:pPr>
      <w:r>
        <w:rPr>
          <w:rFonts w:hint="eastAsia" w:ascii="仿宋_GB2312" w:hAnsi="仿宋_GB2312" w:eastAsia="仿宋_GB2312" w:cs="仿宋_GB2312"/>
          <w:b/>
          <w:bCs/>
          <w:sz w:val="36"/>
          <w:szCs w:val="36"/>
          <w:u w:val="none"/>
          <w:lang w:val="en-US" w:eastAsia="zh-CN"/>
        </w:rPr>
        <w:t>202</w:t>
      </w:r>
      <w:r>
        <w:rPr>
          <w:rFonts w:hint="eastAsia" w:hAnsi="仿宋_GB2312" w:cs="仿宋_GB2312"/>
          <w:b/>
          <w:bCs/>
          <w:sz w:val="36"/>
          <w:szCs w:val="36"/>
          <w:u w:val="none"/>
          <w:lang w:val="en-US" w:eastAsia="zh-CN"/>
        </w:rPr>
        <w:t>5</w:t>
      </w:r>
      <w:r>
        <w:rPr>
          <w:rFonts w:hint="eastAsia" w:ascii="仿宋_GB2312" w:hAnsi="仿宋_GB2312" w:eastAsia="仿宋_GB2312" w:cs="仿宋_GB2312"/>
          <w:b/>
          <w:bCs/>
          <w:sz w:val="36"/>
          <w:szCs w:val="36"/>
          <w:u w:val="none"/>
          <w:lang w:val="en-US" w:eastAsia="zh-CN"/>
        </w:rPr>
        <w:t>年</w:t>
      </w:r>
      <w:r>
        <w:rPr>
          <w:rFonts w:hint="eastAsia" w:hAnsi="仿宋_GB2312" w:cs="仿宋_GB2312"/>
          <w:b/>
          <w:bCs/>
          <w:sz w:val="36"/>
          <w:szCs w:val="36"/>
          <w:u w:val="none"/>
          <w:lang w:val="en-US" w:eastAsia="zh-CN"/>
        </w:rPr>
        <w:t>10</w:t>
      </w:r>
      <w:r>
        <w:rPr>
          <w:rFonts w:hint="eastAsia" w:ascii="仿宋_GB2312" w:hAnsi="仿宋_GB2312" w:eastAsia="仿宋_GB2312" w:cs="仿宋_GB2312"/>
          <w:b/>
          <w:bCs/>
          <w:sz w:val="36"/>
          <w:szCs w:val="36"/>
          <w:u w:val="none"/>
          <w:lang w:val="en-US" w:eastAsia="zh-CN"/>
        </w:rPr>
        <w:t>月</w:t>
      </w:r>
      <w:bookmarkStart w:id="8" w:name="_Toc133783966"/>
      <w:bookmarkStart w:id="9" w:name="_Toc13562"/>
      <w:bookmarkStart w:id="10" w:name="_Toc4532"/>
      <w:bookmarkStart w:id="11" w:name="_Toc6957"/>
      <w:bookmarkStart w:id="12" w:name="_Toc13605"/>
      <w:bookmarkStart w:id="13" w:name="_Toc7511"/>
      <w:bookmarkStart w:id="14" w:name="_Toc1884"/>
      <w:bookmarkStart w:id="15" w:name="_Toc20467"/>
      <w:bookmarkStart w:id="16" w:name="_Toc24913"/>
      <w:bookmarkStart w:id="17" w:name="_Toc23870"/>
      <w:bookmarkStart w:id="18" w:name="_Toc30738"/>
      <w:bookmarkStart w:id="19" w:name="_Toc8202"/>
      <w:bookmarkStart w:id="20" w:name="_Toc4194"/>
      <w:bookmarkStart w:id="21" w:name="_Toc8032"/>
      <w:bookmarkStart w:id="22" w:name="_Toc12552"/>
      <w:bookmarkStart w:id="23" w:name="_Toc12714"/>
      <w:bookmarkStart w:id="24" w:name="_Toc19672"/>
      <w:bookmarkStart w:id="25" w:name="_Toc11355"/>
      <w:bookmarkStart w:id="26" w:name="_Toc18182"/>
      <w:bookmarkStart w:id="27" w:name="_Toc13988"/>
      <w:bookmarkStart w:id="28" w:name="_Toc3372"/>
      <w:bookmarkStart w:id="29" w:name="_Toc4483"/>
      <w:bookmarkStart w:id="30" w:name="_Toc3565"/>
      <w:bookmarkStart w:id="31" w:name="_Toc7110"/>
      <w:bookmarkStart w:id="32" w:name="_Toc4029"/>
      <w:bookmarkStart w:id="33" w:name="_Toc6346"/>
      <w:bookmarkStart w:id="34" w:name="_Toc32378"/>
      <w:bookmarkStart w:id="35" w:name="_Toc20272"/>
      <w:bookmarkStart w:id="36" w:name="_Toc21497"/>
      <w:bookmarkStart w:id="37" w:name="_Toc13555"/>
      <w:bookmarkStart w:id="38" w:name="_Toc22649"/>
      <w:bookmarkStart w:id="39" w:name="_Toc16358"/>
      <w:bookmarkStart w:id="40" w:name="_Toc28236"/>
      <w:bookmarkStart w:id="41" w:name="_Toc24964"/>
      <w:bookmarkStart w:id="42" w:name="_Toc14517"/>
      <w:bookmarkStart w:id="43" w:name="_Toc18606"/>
      <w:bookmarkStart w:id="44" w:name="_Toc12563"/>
      <w:bookmarkStart w:id="45" w:name="_Toc18805"/>
    </w:p>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Pr>
        <w:pStyle w:val="3"/>
        <w:keepNext w:val="0"/>
        <w:keepLines w:val="0"/>
        <w:numPr>
          <w:ilvl w:val="0"/>
          <w:numId w:val="20"/>
        </w:numPr>
        <w:spacing w:before="40" w:after="40" w:line="360" w:lineRule="auto"/>
        <w:ind w:left="420" w:hanging="420"/>
        <w:jc w:val="both"/>
        <w:outlineLvl w:val="1"/>
        <w:rPr>
          <w:rFonts w:hint="eastAsia" w:ascii="黑体" w:hAnsi="黑体" w:eastAsia="黑体"/>
          <w:b w:val="0"/>
          <w:color w:val="auto"/>
          <w:sz w:val="24"/>
          <w:highlight w:val="none"/>
        </w:rPr>
      </w:pPr>
      <w:r>
        <w:rPr>
          <w:rFonts w:hint="eastAsia" w:ascii="黑体" w:hAnsi="黑体" w:eastAsia="黑体"/>
          <w:b w:val="0"/>
          <w:color w:val="auto"/>
          <w:sz w:val="24"/>
          <w:highlight w:val="none"/>
        </w:rPr>
        <w:t>项目目标</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en-US" w:eastAsia="zh-CN"/>
        </w:rPr>
      </w:pPr>
      <w:r>
        <w:rPr>
          <w:rFonts w:hint="eastAsia" w:ascii="仿宋" w:hAnsi="仿宋" w:eastAsia="仿宋"/>
          <w:color w:val="auto"/>
          <w:sz w:val="24"/>
          <w:highlight w:val="none"/>
          <w:lang w:val="en-US" w:eastAsia="zh-CN"/>
        </w:rPr>
        <w:t>实现对HTTPS系统的网络攻击检测。</w:t>
      </w:r>
    </w:p>
    <w:p>
      <w:pPr>
        <w:pStyle w:val="3"/>
        <w:keepNext w:val="0"/>
        <w:keepLines w:val="0"/>
        <w:numPr>
          <w:ilvl w:val="0"/>
          <w:numId w:val="20"/>
        </w:numPr>
        <w:spacing w:before="40" w:after="40" w:line="360" w:lineRule="auto"/>
        <w:ind w:left="420" w:hanging="420"/>
        <w:jc w:val="left"/>
        <w:outlineLvl w:val="1"/>
        <w:rPr>
          <w:rFonts w:hint="eastAsia" w:ascii="黑体" w:hAnsi="黑体" w:eastAsia="黑体"/>
          <w:b w:val="0"/>
          <w:color w:val="auto"/>
          <w:sz w:val="24"/>
          <w:highlight w:val="none"/>
        </w:rPr>
      </w:pPr>
      <w:bookmarkStart w:id="46" w:name="_Toc3828"/>
      <w:bookmarkStart w:id="47" w:name="_Toc22638"/>
      <w:r>
        <w:rPr>
          <w:rFonts w:hint="eastAsia" w:ascii="黑体" w:hAnsi="黑体" w:eastAsia="黑体"/>
          <w:b w:val="0"/>
          <w:color w:val="auto"/>
          <w:sz w:val="24"/>
          <w:highlight w:val="none"/>
        </w:rPr>
        <w:t>项目范围</w:t>
      </w:r>
      <w:bookmarkEnd w:id="46"/>
      <w:bookmarkEnd w:id="47"/>
      <w:r>
        <w:rPr>
          <w:rFonts w:hint="eastAsia" w:ascii="黑体" w:hAnsi="黑体" w:eastAsia="黑体"/>
          <w:b w:val="0"/>
          <w:color w:val="auto"/>
          <w:sz w:val="24"/>
          <w:highlight w:val="none"/>
          <w:lang w:val="en-US" w:eastAsia="zh-CN"/>
        </w:rPr>
        <w:t>和内容</w:t>
      </w:r>
    </w:p>
    <w:p>
      <w:pPr>
        <w:autoSpaceDE w:val="0"/>
        <w:autoSpaceDN w:val="0"/>
        <w:adjustRightInd w:val="0"/>
        <w:snapToGrid w:val="0"/>
        <w:spacing w:line="360" w:lineRule="auto"/>
        <w:ind w:firstLine="460" w:firstLineChars="192"/>
        <w:rPr>
          <w:rFonts w:hint="eastAsia" w:ascii="仿宋" w:hAnsi="仿宋" w:eastAsia="仿宋" w:cstheme="minorBidi"/>
          <w:color w:val="auto"/>
          <w:kern w:val="2"/>
          <w:sz w:val="24"/>
          <w:szCs w:val="24"/>
          <w:highlight w:val="none"/>
          <w:lang w:val="en-US" w:eastAsia="zh-CN" w:bidi="ar-SA"/>
        </w:rPr>
      </w:pPr>
      <w:r>
        <w:rPr>
          <w:rFonts w:hint="eastAsia" w:ascii="仿宋" w:hAnsi="仿宋" w:eastAsia="仿宋" w:cstheme="minorBidi"/>
          <w:color w:val="auto"/>
          <w:kern w:val="2"/>
          <w:sz w:val="24"/>
          <w:szCs w:val="24"/>
          <w:highlight w:val="none"/>
          <w:lang w:val="en-US" w:eastAsia="zh-CN" w:bidi="ar-SA"/>
        </w:rPr>
        <w:t>重汽IDC机房部署一台加密流量检测设备，对互联网HTTPS业务流量进行解析并传输</w:t>
      </w:r>
    </w:p>
    <w:p>
      <w:pPr>
        <w:autoSpaceDE w:val="0"/>
        <w:autoSpaceDN w:val="0"/>
        <w:adjustRightInd w:val="0"/>
        <w:snapToGrid w:val="0"/>
        <w:spacing w:line="360" w:lineRule="auto"/>
        <w:rPr>
          <w:rFonts w:hint="eastAsia" w:ascii="仿宋" w:hAnsi="仿宋" w:eastAsia="仿宋" w:cstheme="minorBidi"/>
          <w:bCs/>
          <w:color w:val="auto"/>
          <w:kern w:val="2"/>
          <w:sz w:val="24"/>
          <w:szCs w:val="24"/>
          <w:highlight w:val="none"/>
          <w:lang w:val="en-US" w:eastAsia="zh-CN" w:bidi="ar-SA"/>
        </w:rPr>
      </w:pPr>
      <w:r>
        <w:rPr>
          <w:rFonts w:hint="eastAsia" w:ascii="仿宋" w:hAnsi="仿宋" w:eastAsia="仿宋" w:cstheme="minorBidi"/>
          <w:color w:val="auto"/>
          <w:kern w:val="2"/>
          <w:sz w:val="24"/>
          <w:szCs w:val="24"/>
          <w:highlight w:val="none"/>
          <w:lang w:val="en-US" w:eastAsia="zh-CN" w:bidi="ar-SA"/>
        </w:rPr>
        <w:t>至态感安全分析，实现对HTTPS系统网络攻击的安全检测，且不影响现有业务。</w:t>
      </w:r>
    </w:p>
    <w:p>
      <w:pPr>
        <w:pStyle w:val="3"/>
        <w:keepNext w:val="0"/>
        <w:keepLines w:val="0"/>
        <w:numPr>
          <w:ilvl w:val="0"/>
          <w:numId w:val="20"/>
        </w:numPr>
        <w:spacing w:before="40" w:after="40" w:line="360" w:lineRule="auto"/>
        <w:ind w:left="420" w:hanging="420"/>
        <w:jc w:val="left"/>
        <w:outlineLvl w:val="1"/>
        <w:rPr>
          <w:rFonts w:hint="eastAsia" w:ascii="黑体" w:hAnsi="黑体" w:eastAsia="黑体"/>
          <w:b w:val="0"/>
          <w:color w:val="auto"/>
          <w:sz w:val="24"/>
          <w:highlight w:val="none"/>
        </w:rPr>
      </w:pPr>
      <w:r>
        <w:rPr>
          <w:rFonts w:hint="eastAsia" w:ascii="黑体" w:hAnsi="黑体" w:eastAsia="黑体"/>
          <w:b w:val="0"/>
          <w:color w:val="auto"/>
          <w:sz w:val="24"/>
          <w:highlight w:val="none"/>
          <w:lang w:val="en-US" w:eastAsia="zh-CN"/>
        </w:rPr>
        <w:t>参数要求</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bookmarkStart w:id="48" w:name="_Toc27231"/>
      <w:bookmarkStart w:id="49" w:name="_Toc4433"/>
      <w:r>
        <w:rPr>
          <w:rFonts w:hint="eastAsia" w:ascii="仿宋" w:hAnsi="仿宋" w:eastAsia="仿宋"/>
          <w:color w:val="auto"/>
          <w:sz w:val="24"/>
          <w:highlight w:val="none"/>
          <w:lang w:val="zh-CN" w:eastAsia="zh-CN"/>
        </w:rPr>
        <w:t>国产品牌，≥2U设备，双电源，CPU≥8核16线程，内存≥32G，硬盘≥1T，千兆电口≥2个，万兆光口≥8个（满配原厂万兆光模块），配置独立的SSL硬件加速卡和独立的国密算法密码卡。</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性能要求：SSL加解密性能≥36Gbps、SSL每秒新建连接数≥4万、SSL最大并发连接数≥200万。</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设备必须为专业加解密设备，承诺没有使用开源操作系统或open ssl组件，避免产生开源漏洞。</w:t>
      </w:r>
    </w:p>
    <w:p>
      <w:pPr>
        <w:numPr>
          <w:ilvl w:val="0"/>
          <w:numId w:val="21"/>
        </w:numPr>
        <w:autoSpaceDE w:val="0"/>
        <w:autoSpaceDN w:val="0"/>
        <w:adjustRightInd w:val="0"/>
        <w:snapToGrid w:val="0"/>
        <w:spacing w:line="360" w:lineRule="auto"/>
        <w:ind w:left="425" w:leftChars="0" w:hanging="425" w:firstLineChars="0"/>
        <w:rPr>
          <w:rFonts w:hint="default" w:ascii="仿宋" w:hAnsi="仿宋" w:eastAsia="仿宋"/>
          <w:color w:val="auto"/>
          <w:sz w:val="24"/>
          <w:highlight w:val="none"/>
          <w:lang w:val="en-US" w:eastAsia="zh-CN"/>
        </w:rPr>
      </w:pPr>
      <w:r>
        <w:rPr>
          <w:rFonts w:hint="eastAsia" w:ascii="仿宋" w:hAnsi="仿宋" w:eastAsia="仿宋"/>
          <w:color w:val="auto"/>
          <w:sz w:val="24"/>
          <w:highlight w:val="none"/>
          <w:lang w:val="zh-CN" w:eastAsia="zh-CN"/>
        </w:rPr>
        <w:t>支持将加密流量解密后进行流量编排，解密后流量可以复制分发至多路</w:t>
      </w:r>
      <w:r>
        <w:rPr>
          <w:rFonts w:hint="eastAsia" w:ascii="仿宋" w:hAnsi="仿宋" w:eastAsia="仿宋"/>
          <w:color w:val="auto"/>
          <w:sz w:val="24"/>
          <w:highlight w:val="none"/>
          <w:lang w:val="en-US" w:eastAsia="zh-CN"/>
        </w:rPr>
        <w:t>态感</w:t>
      </w:r>
      <w:r>
        <w:rPr>
          <w:rFonts w:hint="eastAsia" w:ascii="仿宋" w:hAnsi="仿宋" w:eastAsia="仿宋"/>
          <w:color w:val="auto"/>
          <w:sz w:val="24"/>
          <w:highlight w:val="none"/>
          <w:lang w:val="zh-CN" w:eastAsia="zh-CN"/>
        </w:rPr>
        <w:t>分析设备；</w:t>
      </w:r>
      <w:r>
        <w:rPr>
          <w:rFonts w:hint="eastAsia" w:ascii="仿宋" w:hAnsi="仿宋" w:eastAsia="仿宋"/>
          <w:color w:val="auto"/>
          <w:sz w:val="24"/>
          <w:highlight w:val="none"/>
          <w:lang w:val="en-US" w:eastAsia="zh-CN"/>
        </w:rPr>
        <w:t>传输至业务系统的流量需和原始流量完全一样，解密后流量可以重新封装成加密流量并与原始流量完全一样；</w:t>
      </w:r>
      <w:r>
        <w:rPr>
          <w:rFonts w:hint="eastAsia" w:ascii="仿宋" w:hAnsi="仿宋" w:eastAsia="仿宋"/>
          <w:color w:val="auto"/>
          <w:sz w:val="24"/>
          <w:highlight w:val="none"/>
          <w:lang w:val="zh-CN" w:eastAsia="zh-CN"/>
        </w:rPr>
        <w:t>可以通过产品界面直观展示每个业务的流量编排过程和拓扑结构。</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加解密过程不</w:t>
      </w:r>
      <w:r>
        <w:rPr>
          <w:rFonts w:hint="eastAsia" w:ascii="仿宋" w:hAnsi="仿宋" w:eastAsia="仿宋"/>
          <w:color w:val="auto"/>
          <w:sz w:val="24"/>
          <w:highlight w:val="none"/>
          <w:lang w:val="en-US" w:eastAsia="zh-CN"/>
        </w:rPr>
        <w:t>影响现有</w:t>
      </w:r>
      <w:r>
        <w:rPr>
          <w:rFonts w:hint="eastAsia" w:ascii="仿宋" w:hAnsi="仿宋" w:eastAsia="仿宋"/>
          <w:color w:val="auto"/>
          <w:sz w:val="24"/>
          <w:highlight w:val="none"/>
          <w:lang w:val="zh-CN" w:eastAsia="zh-CN"/>
        </w:rPr>
        <w:t>业务，无需业务系统做任何配置更改，不影响网络访问流畅度，确保用户在使用过程中几乎感受不到延迟。</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算法要求：支持SHA256、SHA512、SM2、SM3、SM4等算法，可根据客户端或业务系统自适应商密算法或国际算法。</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提供可兼容的同品牌客户端控件，控件支持在LINUX、WINDOWS、IOS、Android、麒麟、统信，鸿蒙等主流操作系统安装，提供LINUX、WINDOWS、IOS、Android、鸿蒙商用密码产品认证证书。</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具备会话保持算法：支持基于URL、主机名、IP地址段、端口范围、Cookie、 HTTP Header、正则表达式等算法实现会话保持。</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高可用性：支持全量配置同步、增量配置同步、实时配置同步、启动配置同步和配置回退；支持FFO心跳线切换，双机切换时间小于20ms；支持基于CPU、内存占用率、SSL加速卡状态、磁盘使用率等筛选条件进行主备机切换或设备重启 。</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持自动识别应用服务中的URL地址，数据传输过程中进行动态混淆封装以隐藏真实URL路径，每次数据传输都可以混淆封装不同的内容，保证数据安全。</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支持基于MAC的二层负载均衡，支持轮询、加权轮询、最小连接数、最快响应时间、哈希、URL、SNMP、Hostname、Cookie、Header、QoS Cookie、QoS Hostname、QoS URL、QoS Network、正则表达式等负载均衡算法。</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支持SOAP API功能，支持REST ful API功能，支持config模式，支持enable模式；支持监控SSL代理服务，界面可查看代理状态，包括每秒请求数、平均响应时间、网络速率等，支持对接外部监控系统。</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eastAsia="zh-CN"/>
        </w:rPr>
      </w:pPr>
      <w:r>
        <w:rPr>
          <w:rFonts w:hint="eastAsia" w:ascii="仿宋" w:hAnsi="仿宋" w:eastAsia="仿宋"/>
          <w:color w:val="auto"/>
          <w:sz w:val="24"/>
          <w:highlight w:val="none"/>
          <w:lang w:val="zh-CN" w:eastAsia="zh-CN"/>
        </w:rPr>
        <w:t>设备命令行页面可进行ping、tcpdump、telnet等排错命令，可通web页面实现输入完整的命令，能将现有设备的配置信息、证书和密钥平滑迁移到新设备中。支持通过Web UI、CLI进行完整配置，可通过Web UI页面进行主机检测、网络抓包、端口检测、DNS检测、ARP检测等运维故障操作。</w:t>
      </w:r>
    </w:p>
    <w:p>
      <w:pPr>
        <w:numPr>
          <w:ilvl w:val="0"/>
          <w:numId w:val="21"/>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en-US" w:eastAsia="zh-CN"/>
        </w:rPr>
      </w:pPr>
      <w:r>
        <w:rPr>
          <w:rFonts w:hint="eastAsia" w:ascii="仿宋" w:hAnsi="仿宋" w:eastAsia="仿宋"/>
          <w:color w:val="auto"/>
          <w:sz w:val="24"/>
          <w:highlight w:val="none"/>
          <w:lang w:val="zh-CN" w:eastAsia="zh-CN"/>
        </w:rPr>
        <w:t>所投产品必须具备《商用密码产品认证证书》，符合GM/T 0028《密码模块安全技术要求》。</w:t>
      </w:r>
    </w:p>
    <w:p>
      <w:pPr>
        <w:pStyle w:val="3"/>
        <w:keepNext w:val="0"/>
        <w:keepLines w:val="0"/>
        <w:numPr>
          <w:ilvl w:val="0"/>
          <w:numId w:val="20"/>
        </w:numPr>
        <w:spacing w:before="40" w:after="40" w:line="360" w:lineRule="auto"/>
        <w:ind w:left="420" w:hanging="420"/>
        <w:outlineLvl w:val="1"/>
        <w:rPr>
          <w:rFonts w:hint="eastAsia" w:ascii="黑体" w:hAnsi="黑体" w:eastAsia="黑体"/>
          <w:b w:val="0"/>
          <w:color w:val="auto"/>
          <w:sz w:val="24"/>
          <w:highlight w:val="none"/>
          <w:lang w:val="en-US" w:eastAsia="zh-CN"/>
        </w:rPr>
      </w:pPr>
      <w:r>
        <w:rPr>
          <w:rFonts w:hint="eastAsia" w:ascii="黑体" w:hAnsi="黑体" w:eastAsia="黑体"/>
          <w:b w:val="0"/>
          <w:color w:val="auto"/>
          <w:sz w:val="24"/>
          <w:highlight w:val="none"/>
          <w:lang w:val="en-US" w:eastAsia="zh-CN"/>
        </w:rPr>
        <w:t>服务要求</w:t>
      </w:r>
      <w:bookmarkEnd w:id="48"/>
      <w:bookmarkEnd w:id="49"/>
    </w:p>
    <w:p>
      <w:pPr>
        <w:numPr>
          <w:ilvl w:val="0"/>
          <w:numId w:val="22"/>
        </w:numPr>
        <w:autoSpaceDE w:val="0"/>
        <w:autoSpaceDN w:val="0"/>
        <w:adjustRightInd w:val="0"/>
        <w:snapToGrid w:val="0"/>
        <w:spacing w:line="360" w:lineRule="auto"/>
        <w:ind w:left="425" w:leftChars="0" w:hanging="425" w:firstLineChars="0"/>
        <w:rPr>
          <w:rFonts w:hint="default" w:ascii="仿宋" w:hAnsi="仿宋" w:eastAsia="仿宋"/>
          <w:color w:val="auto"/>
          <w:sz w:val="24"/>
          <w:highlight w:val="none"/>
          <w:lang w:val="en-US" w:eastAsia="zh-CN"/>
        </w:rPr>
      </w:pPr>
      <w:r>
        <w:rPr>
          <w:rFonts w:hint="eastAsia" w:ascii="仿宋" w:hAnsi="仿宋" w:eastAsia="仿宋"/>
          <w:color w:val="auto"/>
          <w:sz w:val="24"/>
          <w:highlight w:val="none"/>
          <w:lang w:val="en-US" w:eastAsia="zh-CN"/>
        </w:rPr>
        <w:t>合同签订日起十五日内设备到货，按照甲方要求，完成设备部署上线。</w:t>
      </w:r>
    </w:p>
    <w:p>
      <w:pPr>
        <w:numPr>
          <w:ilvl w:val="0"/>
          <w:numId w:val="22"/>
        </w:numPr>
        <w:autoSpaceDE w:val="0"/>
        <w:autoSpaceDN w:val="0"/>
        <w:adjustRightInd w:val="0"/>
        <w:snapToGrid w:val="0"/>
        <w:spacing w:line="360" w:lineRule="auto"/>
        <w:ind w:left="425" w:leftChars="0" w:hanging="425" w:firstLineChars="0"/>
        <w:rPr>
          <w:rFonts w:hint="default" w:ascii="仿宋" w:hAnsi="仿宋" w:eastAsia="仿宋"/>
          <w:color w:val="auto"/>
          <w:sz w:val="24"/>
          <w:highlight w:val="none"/>
          <w:lang w:val="en-US" w:eastAsia="zh-CN"/>
        </w:rPr>
      </w:pPr>
      <w:r>
        <w:rPr>
          <w:rFonts w:hint="eastAsia" w:ascii="仿宋" w:hAnsi="仿宋" w:eastAsia="仿宋"/>
          <w:color w:val="auto"/>
          <w:sz w:val="24"/>
          <w:highlight w:val="none"/>
          <w:lang w:val="en-US" w:eastAsia="zh-CN"/>
        </w:rPr>
        <w:t>免费提供三年软硬件维保，维保日期从项目验收之日起。</w:t>
      </w:r>
    </w:p>
    <w:p>
      <w:pPr>
        <w:numPr>
          <w:ilvl w:val="0"/>
          <w:numId w:val="22"/>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en-US" w:eastAsia="zh-CN"/>
        </w:rPr>
      </w:pPr>
      <w:r>
        <w:rPr>
          <w:rFonts w:hint="eastAsia" w:ascii="仿宋" w:hAnsi="仿宋" w:eastAsia="仿宋"/>
          <w:color w:val="auto"/>
          <w:sz w:val="24"/>
          <w:highlight w:val="none"/>
          <w:lang w:val="en-US" w:eastAsia="zh-CN"/>
        </w:rPr>
        <w:t>免费提供任何技术支持，包括但不限于设备配置、技术培训等，直至满足甲方需求。</w:t>
      </w:r>
    </w:p>
    <w:p>
      <w:pPr>
        <w:pStyle w:val="3"/>
        <w:keepNext w:val="0"/>
        <w:keepLines w:val="0"/>
        <w:numPr>
          <w:ilvl w:val="0"/>
          <w:numId w:val="20"/>
        </w:numPr>
        <w:spacing w:before="40" w:after="40" w:line="360" w:lineRule="auto"/>
        <w:ind w:left="420" w:hanging="420"/>
        <w:outlineLvl w:val="1"/>
        <w:rPr>
          <w:rFonts w:hint="eastAsia" w:ascii="黑体" w:hAnsi="黑体" w:eastAsia="黑体"/>
          <w:b w:val="0"/>
          <w:color w:val="auto"/>
          <w:sz w:val="24"/>
          <w:highlight w:val="none"/>
        </w:rPr>
      </w:pPr>
      <w:bookmarkStart w:id="50" w:name="_Toc16170"/>
      <w:r>
        <w:rPr>
          <w:rFonts w:hint="eastAsia" w:ascii="黑体" w:hAnsi="黑体" w:eastAsia="黑体"/>
          <w:b w:val="0"/>
          <w:color w:val="auto"/>
          <w:sz w:val="24"/>
          <w:highlight w:val="none"/>
        </w:rPr>
        <w:t>验收标准</w:t>
      </w:r>
      <w:bookmarkEnd w:id="50"/>
    </w:p>
    <w:p>
      <w:pPr>
        <w:autoSpaceDE w:val="0"/>
        <w:autoSpaceDN w:val="0"/>
        <w:adjustRightInd w:val="0"/>
        <w:snapToGrid w:val="0"/>
        <w:spacing w:line="360" w:lineRule="auto"/>
        <w:ind w:firstLine="482" w:firstLineChars="200"/>
        <w:rPr>
          <w:rFonts w:hint="eastAsia" w:ascii="仿宋" w:hAnsi="仿宋" w:eastAsia="仿宋"/>
          <w:b/>
          <w:bCs/>
          <w:color w:val="auto"/>
          <w:sz w:val="24"/>
          <w:highlight w:val="none"/>
          <w:lang w:val="zh-CN"/>
        </w:rPr>
      </w:pPr>
      <w:r>
        <w:rPr>
          <w:rFonts w:hint="eastAsia" w:ascii="仿宋" w:hAnsi="仿宋" w:eastAsia="仿宋"/>
          <w:b/>
          <w:bCs/>
          <w:color w:val="auto"/>
          <w:sz w:val="24"/>
          <w:highlight w:val="none"/>
          <w:lang w:val="en-US" w:eastAsia="zh-CN"/>
        </w:rPr>
        <w:t>1.</w:t>
      </w:r>
      <w:r>
        <w:rPr>
          <w:rFonts w:hint="eastAsia" w:ascii="仿宋" w:hAnsi="仿宋" w:eastAsia="仿宋"/>
          <w:b/>
          <w:bCs/>
          <w:color w:val="auto"/>
          <w:sz w:val="24"/>
          <w:highlight w:val="none"/>
          <w:lang w:val="zh-CN"/>
        </w:rPr>
        <w:t>验收的一般约定</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1.1验收标准一般以技术协议书和合同规定验收。</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1.2如果验收过程中，发现招标文件、投标文件、答疑文件、技术交流文件等与技术协议书、合同存在差异，原则上以涉及条款中对买方最有利条款为验收依据。</w:t>
      </w:r>
    </w:p>
    <w:p>
      <w:pPr>
        <w:numPr>
          <w:ilvl w:val="0"/>
          <w:numId w:val="23"/>
        </w:numPr>
        <w:autoSpaceDE w:val="0"/>
        <w:autoSpaceDN w:val="0"/>
        <w:adjustRightInd w:val="0"/>
        <w:snapToGrid w:val="0"/>
        <w:spacing w:line="360" w:lineRule="auto"/>
        <w:ind w:firstLine="482" w:firstLineChars="200"/>
        <w:rPr>
          <w:rFonts w:hint="eastAsia" w:ascii="仿宋" w:hAnsi="仿宋" w:eastAsia="仿宋"/>
          <w:b/>
          <w:bCs/>
          <w:color w:val="auto"/>
          <w:sz w:val="24"/>
          <w:highlight w:val="none"/>
          <w:lang w:val="zh-CN"/>
        </w:rPr>
      </w:pPr>
      <w:r>
        <w:rPr>
          <w:rFonts w:hint="eastAsia" w:ascii="仿宋" w:hAnsi="仿宋" w:eastAsia="仿宋"/>
          <w:b/>
          <w:bCs/>
          <w:color w:val="auto"/>
          <w:sz w:val="24"/>
          <w:highlight w:val="none"/>
          <w:lang w:val="zh-CN"/>
        </w:rPr>
        <w:t>检验</w:t>
      </w:r>
    </w:p>
    <w:p>
      <w:pPr>
        <w:numPr>
          <w:ilvl w:val="0"/>
          <w:numId w:val="0"/>
        </w:numPr>
        <w:autoSpaceDE w:val="0"/>
        <w:autoSpaceDN w:val="0"/>
        <w:adjustRightInd w:val="0"/>
        <w:snapToGrid w:val="0"/>
        <w:spacing w:line="360" w:lineRule="auto"/>
        <w:ind w:firstLine="480" w:firstLineChars="200"/>
        <w:rPr>
          <w:rFonts w:hint="eastAsia" w:ascii="仿宋" w:hAnsi="仿宋" w:eastAsia="仿宋"/>
          <w:b w:val="0"/>
          <w:bCs w:val="0"/>
          <w:color w:val="auto"/>
          <w:sz w:val="24"/>
          <w:highlight w:val="none"/>
          <w:lang w:val="zh-CN"/>
        </w:rPr>
      </w:pPr>
      <w:r>
        <w:rPr>
          <w:rFonts w:hint="eastAsia" w:ascii="仿宋" w:hAnsi="仿宋" w:eastAsia="仿宋"/>
          <w:b w:val="0"/>
          <w:bCs w:val="0"/>
          <w:color w:val="auto"/>
          <w:sz w:val="24"/>
          <w:highlight w:val="none"/>
          <w:lang w:val="zh-CN"/>
        </w:rPr>
        <w:t>如果采购货物涉及必要的或必需的检验，投标人应当在投标文件中明确可能涉及的检验费用，并将该费用包含在投标总报价之内；不作针对性澄清或说明的，视同包含在投标总价之内。基本约定如下：</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2.1国产货物的检验由卖买双方按照合同要求或在制造现场进行。</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2.2进口货物的检验按照下述要求进行：</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w:t>
      </w: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.1进口货物发货前，卖方应对货物的质量、型号、规格、性能和数量/重量作精密、全面的检验，并出具证明书，证明所供货物符合合同规定。</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w:t>
      </w: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.2卖方应依据合同规定的要求，提供买卖双方达成一致的货物的验收标准和装箱单，作为买方检验的依据。</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w:t>
      </w: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3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autoSpaceDE w:val="0"/>
        <w:autoSpaceDN w:val="0"/>
        <w:adjustRightInd w:val="0"/>
        <w:snapToGrid w:val="0"/>
        <w:spacing w:line="360" w:lineRule="auto"/>
        <w:ind w:firstLine="463" w:firstLineChars="192"/>
        <w:rPr>
          <w:rFonts w:hint="default" w:ascii="仿宋" w:hAnsi="仿宋" w:eastAsia="仿宋"/>
          <w:b/>
          <w:bCs/>
          <w:color w:val="auto"/>
          <w:sz w:val="24"/>
          <w:highlight w:val="none"/>
          <w:lang w:val="en-US" w:eastAsia="zh-CN"/>
        </w:rPr>
      </w:pPr>
      <w:r>
        <w:rPr>
          <w:rFonts w:hint="eastAsia" w:ascii="仿宋" w:hAnsi="仿宋" w:eastAsia="仿宋"/>
          <w:b/>
          <w:bCs/>
          <w:color w:val="auto"/>
          <w:sz w:val="24"/>
          <w:highlight w:val="none"/>
          <w:lang w:val="zh-CN"/>
        </w:rPr>
        <w:t>3</w:t>
      </w:r>
      <w:r>
        <w:rPr>
          <w:rFonts w:hint="eastAsia" w:ascii="仿宋" w:hAnsi="仿宋" w:eastAsia="仿宋"/>
          <w:b/>
          <w:bCs/>
          <w:color w:val="auto"/>
          <w:sz w:val="24"/>
          <w:highlight w:val="none"/>
          <w:lang w:val="en-US" w:eastAsia="zh-CN"/>
        </w:rPr>
        <w:t>.</w:t>
      </w:r>
      <w:r>
        <w:rPr>
          <w:rFonts w:hint="eastAsia" w:ascii="仿宋" w:hAnsi="仿宋" w:eastAsia="仿宋"/>
          <w:b/>
          <w:bCs/>
          <w:color w:val="auto"/>
          <w:sz w:val="24"/>
          <w:highlight w:val="none"/>
          <w:lang w:val="zh-CN"/>
        </w:rPr>
        <w:t>验收条件</w:t>
      </w:r>
      <w:r>
        <w:rPr>
          <w:rFonts w:hint="eastAsia" w:ascii="仿宋" w:hAnsi="仿宋" w:eastAsia="仿宋"/>
          <w:b/>
          <w:bCs/>
          <w:color w:val="auto"/>
          <w:sz w:val="24"/>
          <w:highlight w:val="none"/>
          <w:lang w:val="en-US" w:eastAsia="zh-CN"/>
        </w:rPr>
        <w:t>与要求</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本项目验收要求为终验收，在安装调试完成及试运行后的买方现场进行。</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买卖双方按照合同约定执行了合同，同时货物完成了试运行并经检验合格，则具备验收条件。</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1</w:t>
      </w:r>
      <w:r>
        <w:rPr>
          <w:rFonts w:hint="eastAsia" w:ascii="仿宋" w:hAnsi="仿宋" w:eastAsia="仿宋"/>
          <w:color w:val="auto"/>
          <w:sz w:val="24"/>
          <w:highlight w:val="none"/>
          <w:lang w:val="zh-CN"/>
        </w:rPr>
        <w:t>终验收一般条件</w:t>
      </w:r>
    </w:p>
    <w:p>
      <w:pPr>
        <w:autoSpaceDE w:val="0"/>
        <w:autoSpaceDN w:val="0"/>
        <w:adjustRightInd w:val="0"/>
        <w:snapToGrid w:val="0"/>
        <w:spacing w:line="360" w:lineRule="auto"/>
        <w:ind w:firstLine="460" w:firstLineChars="192"/>
        <w:rPr>
          <w:rFonts w:hint="default" w:ascii="仿宋" w:hAnsi="仿宋" w:eastAsia="仿宋"/>
          <w:color w:val="auto"/>
          <w:sz w:val="24"/>
          <w:highlight w:val="none"/>
          <w:lang w:val="en-US"/>
        </w:rPr>
      </w:pPr>
      <w:r>
        <w:rPr>
          <w:rFonts w:hint="eastAsia" w:ascii="仿宋" w:hAnsi="仿宋" w:eastAsia="仿宋"/>
          <w:color w:val="auto"/>
          <w:sz w:val="24"/>
          <w:highlight w:val="none"/>
          <w:lang w:val="en-US" w:eastAsia="zh-CN"/>
        </w:rPr>
        <w:t>1</w:t>
      </w:r>
      <w:r>
        <w:rPr>
          <w:rFonts w:hint="eastAsia" w:ascii="仿宋" w:hAnsi="仿宋" w:eastAsia="仿宋"/>
          <w:color w:val="auto"/>
          <w:sz w:val="24"/>
          <w:highlight w:val="none"/>
          <w:lang w:val="zh-CN"/>
        </w:rPr>
        <w:t>.</w:t>
      </w:r>
      <w:r>
        <w:rPr>
          <w:rFonts w:hint="eastAsia" w:ascii="仿宋" w:hAnsi="仿宋" w:eastAsia="仿宋"/>
          <w:color w:val="auto"/>
          <w:sz w:val="24"/>
          <w:highlight w:val="none"/>
          <w:lang w:val="en-US" w:eastAsia="zh-CN"/>
        </w:rPr>
        <w:t>1设备完成部署上线，实现对互联网HTTPS业务流量进行解析并传输至态感安全分析，不影响现有业务。</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1</w:t>
      </w:r>
      <w:r>
        <w:rPr>
          <w:rFonts w:hint="eastAsia" w:ascii="仿宋" w:hAnsi="仿宋" w:eastAsia="仿宋"/>
          <w:color w:val="auto"/>
          <w:sz w:val="24"/>
          <w:highlight w:val="none"/>
          <w:lang w:val="zh-CN"/>
        </w:rPr>
        <w:t>.</w:t>
      </w: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试运行期间或之后无维修、调整等行为（特殊情况除外）。</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1</w:t>
      </w:r>
      <w:r>
        <w:rPr>
          <w:rFonts w:hint="eastAsia" w:ascii="仿宋" w:hAnsi="仿宋" w:eastAsia="仿宋"/>
          <w:color w:val="auto"/>
          <w:sz w:val="24"/>
          <w:highlight w:val="none"/>
          <w:lang w:val="zh-CN"/>
        </w:rPr>
        <w:t>.</w:t>
      </w:r>
      <w:r>
        <w:rPr>
          <w:rFonts w:hint="eastAsia" w:ascii="仿宋" w:hAnsi="仿宋" w:eastAsia="仿宋"/>
          <w:color w:val="auto"/>
          <w:sz w:val="24"/>
          <w:highlight w:val="none"/>
          <w:lang w:val="en-US" w:eastAsia="zh-CN"/>
        </w:rPr>
        <w:t>3</w:t>
      </w:r>
      <w:r>
        <w:rPr>
          <w:rFonts w:hint="eastAsia" w:ascii="仿宋" w:hAnsi="仿宋" w:eastAsia="仿宋"/>
          <w:color w:val="auto"/>
          <w:sz w:val="24"/>
          <w:highlight w:val="none"/>
          <w:lang w:val="zh-CN"/>
        </w:rPr>
        <w:t>货物质量、技术性能等，达到签定的技术协议书和合同规定的终验收标准。</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终验收基本要求</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 xml:space="preserve">.1负荷运行时，货物应连续运行 </w:t>
      </w:r>
      <w:r>
        <w:rPr>
          <w:rFonts w:hint="eastAsia" w:ascii="仿宋" w:hAnsi="仿宋" w:eastAsia="仿宋"/>
          <w:color w:val="auto"/>
          <w:sz w:val="24"/>
          <w:highlight w:val="none"/>
          <w:lang w:val="en-US" w:eastAsia="zh-CN"/>
        </w:rPr>
        <w:t>3</w:t>
      </w:r>
      <w:r>
        <w:rPr>
          <w:rFonts w:hint="eastAsia" w:ascii="仿宋" w:hAnsi="仿宋" w:eastAsia="仿宋"/>
          <w:color w:val="auto"/>
          <w:sz w:val="24"/>
          <w:highlight w:val="none"/>
          <w:lang w:val="zh-CN"/>
        </w:rPr>
        <w:t>0 天，</w:t>
      </w:r>
      <w:r>
        <w:rPr>
          <w:rFonts w:hint="eastAsia" w:ascii="仿宋" w:hAnsi="仿宋" w:eastAsia="仿宋"/>
          <w:color w:val="auto"/>
          <w:sz w:val="24"/>
          <w:highlight w:val="none"/>
          <w:lang w:val="en-US" w:eastAsia="zh-CN"/>
        </w:rPr>
        <w:t>实时执行加解密，</w:t>
      </w:r>
      <w:r>
        <w:rPr>
          <w:rFonts w:hint="eastAsia" w:ascii="仿宋" w:hAnsi="仿宋" w:eastAsia="仿宋"/>
          <w:color w:val="auto"/>
          <w:sz w:val="24"/>
          <w:highlight w:val="none"/>
          <w:lang w:val="zh-CN"/>
        </w:rPr>
        <w:t>除用户方面因素外，必须达到以下要求：</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w:t>
      </w: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验收时，其参数</w:t>
      </w:r>
      <w:r>
        <w:rPr>
          <w:rFonts w:hint="eastAsia" w:ascii="仿宋" w:hAnsi="仿宋" w:eastAsia="仿宋"/>
          <w:color w:val="auto"/>
          <w:sz w:val="24"/>
          <w:highlight w:val="none"/>
          <w:lang w:val="en-US" w:eastAsia="zh-CN"/>
        </w:rPr>
        <w:t>需</w:t>
      </w:r>
      <w:r>
        <w:rPr>
          <w:rFonts w:hint="eastAsia" w:ascii="仿宋" w:hAnsi="仿宋" w:eastAsia="仿宋"/>
          <w:color w:val="auto"/>
          <w:sz w:val="24"/>
          <w:highlight w:val="none"/>
          <w:lang w:val="zh-CN"/>
        </w:rPr>
        <w:t>满足</w:t>
      </w:r>
      <w:r>
        <w:rPr>
          <w:rFonts w:hint="eastAsia" w:ascii="仿宋" w:hAnsi="仿宋" w:eastAsia="仿宋"/>
          <w:color w:val="auto"/>
          <w:sz w:val="24"/>
          <w:highlight w:val="none"/>
          <w:lang w:val="en-US" w:eastAsia="zh-CN"/>
        </w:rPr>
        <w:t>合同</w:t>
      </w:r>
      <w:r>
        <w:rPr>
          <w:rFonts w:hint="eastAsia" w:ascii="仿宋" w:hAnsi="仿宋" w:eastAsia="仿宋"/>
          <w:color w:val="auto"/>
          <w:sz w:val="24"/>
          <w:highlight w:val="none"/>
          <w:lang w:val="zh-CN"/>
        </w:rPr>
        <w:t>中的技术要求，</w:t>
      </w:r>
      <w:r>
        <w:rPr>
          <w:rFonts w:hint="eastAsia" w:ascii="仿宋" w:hAnsi="仿宋" w:eastAsia="仿宋"/>
          <w:color w:val="auto"/>
          <w:sz w:val="24"/>
          <w:highlight w:val="none"/>
          <w:lang w:val="en-US" w:eastAsia="zh-CN"/>
        </w:rPr>
        <w:t>未对现有业务产生影响</w:t>
      </w:r>
      <w:r>
        <w:rPr>
          <w:rFonts w:hint="eastAsia" w:ascii="仿宋" w:hAnsi="仿宋" w:eastAsia="仿宋"/>
          <w:color w:val="auto"/>
          <w:sz w:val="24"/>
          <w:highlight w:val="none"/>
          <w:lang w:val="zh-CN"/>
        </w:rPr>
        <w:t>。</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2</w:t>
      </w:r>
      <w:r>
        <w:rPr>
          <w:rFonts w:hint="eastAsia" w:ascii="仿宋" w:hAnsi="仿宋" w:eastAsia="仿宋"/>
          <w:color w:val="auto"/>
          <w:sz w:val="24"/>
          <w:highlight w:val="none"/>
          <w:lang w:val="zh-CN"/>
        </w:rPr>
        <w:t>.</w:t>
      </w:r>
      <w:r>
        <w:rPr>
          <w:rFonts w:hint="eastAsia" w:ascii="仿宋" w:hAnsi="仿宋" w:eastAsia="仿宋"/>
          <w:color w:val="auto"/>
          <w:sz w:val="24"/>
          <w:highlight w:val="none"/>
          <w:lang w:val="en-US" w:eastAsia="zh-CN"/>
        </w:rPr>
        <w:t>3</w:t>
      </w:r>
      <w:r>
        <w:rPr>
          <w:rFonts w:hint="eastAsia" w:ascii="仿宋" w:hAnsi="仿宋" w:eastAsia="仿宋"/>
          <w:color w:val="auto"/>
          <w:sz w:val="24"/>
          <w:highlight w:val="none"/>
          <w:lang w:val="zh-CN"/>
        </w:rPr>
        <w:t>在整个验收过程中</w:t>
      </w:r>
      <w:r>
        <w:rPr>
          <w:rFonts w:hint="eastAsia" w:ascii="仿宋" w:hAnsi="仿宋" w:eastAsia="仿宋"/>
          <w:color w:val="auto"/>
          <w:sz w:val="24"/>
          <w:highlight w:val="none"/>
          <w:lang w:val="en-US" w:eastAsia="zh-CN"/>
        </w:rPr>
        <w:t>未</w:t>
      </w:r>
      <w:r>
        <w:rPr>
          <w:rFonts w:hint="eastAsia" w:ascii="仿宋" w:hAnsi="仿宋" w:eastAsia="仿宋"/>
          <w:color w:val="auto"/>
          <w:sz w:val="24"/>
          <w:highlight w:val="none"/>
          <w:lang w:val="zh-CN"/>
        </w:rPr>
        <w:t>发生关键零部件损坏或重大故障。</w:t>
      </w:r>
    </w:p>
    <w:p>
      <w:pPr>
        <w:autoSpaceDE w:val="0"/>
        <w:autoSpaceDN w:val="0"/>
        <w:adjustRightInd w:val="0"/>
        <w:snapToGrid w:val="0"/>
        <w:spacing w:line="360" w:lineRule="auto"/>
        <w:ind w:firstLine="460" w:firstLineChars="192"/>
        <w:rPr>
          <w:rFonts w:hint="default" w:ascii="仿宋" w:hAnsi="仿宋" w:eastAsia="仿宋"/>
          <w:color w:val="auto"/>
          <w:sz w:val="24"/>
          <w:highlight w:val="none"/>
          <w:lang w:val="en-US" w:eastAsia="zh-CN"/>
        </w:rPr>
      </w:pPr>
      <w:r>
        <w:rPr>
          <w:rFonts w:hint="eastAsia" w:ascii="仿宋" w:hAnsi="仿宋" w:eastAsia="仿宋"/>
          <w:color w:val="auto"/>
          <w:sz w:val="24"/>
          <w:highlight w:val="none"/>
          <w:lang w:val="en-US" w:eastAsia="zh-CN"/>
        </w:rPr>
        <w:t>2.4设备未频繁发生中断、宕机等故障，设备运行稳定性需满足甲方需求和认可。</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w:t>
      </w:r>
      <w:r>
        <w:rPr>
          <w:rFonts w:hint="eastAsia" w:ascii="仿宋" w:hAnsi="仿宋" w:eastAsia="仿宋"/>
          <w:color w:val="auto"/>
          <w:sz w:val="24"/>
          <w:highlight w:val="none"/>
          <w:lang w:val="en-US" w:eastAsia="zh-CN"/>
        </w:rPr>
        <w:t>5</w:t>
      </w:r>
      <w:r>
        <w:rPr>
          <w:rFonts w:hint="eastAsia" w:ascii="仿宋" w:hAnsi="仿宋" w:eastAsia="仿宋"/>
          <w:color w:val="auto"/>
          <w:sz w:val="24"/>
          <w:highlight w:val="none"/>
          <w:lang w:val="zh-CN"/>
        </w:rPr>
        <w:t>累计运行实际性能</w:t>
      </w:r>
      <w:r>
        <w:rPr>
          <w:rFonts w:hint="eastAsia" w:ascii="仿宋" w:hAnsi="仿宋" w:eastAsia="仿宋"/>
          <w:color w:val="auto"/>
          <w:sz w:val="24"/>
          <w:highlight w:val="none"/>
          <w:lang w:val="en-US" w:eastAsia="zh-CN"/>
        </w:rPr>
        <w:t>和功能等</w:t>
      </w:r>
      <w:r>
        <w:rPr>
          <w:rFonts w:hint="eastAsia" w:ascii="仿宋" w:hAnsi="仿宋" w:eastAsia="仿宋"/>
          <w:color w:val="auto"/>
          <w:sz w:val="24"/>
          <w:highlight w:val="none"/>
          <w:lang w:val="zh-CN"/>
        </w:rPr>
        <w:t>达到合同规定。</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w:t>
      </w:r>
      <w:r>
        <w:rPr>
          <w:rFonts w:hint="eastAsia" w:ascii="仿宋" w:hAnsi="仿宋" w:eastAsia="仿宋"/>
          <w:color w:val="auto"/>
          <w:sz w:val="24"/>
          <w:highlight w:val="none"/>
          <w:lang w:val="en-US" w:eastAsia="zh-CN"/>
        </w:rPr>
        <w:t>6</w:t>
      </w:r>
      <w:r>
        <w:rPr>
          <w:rFonts w:hint="eastAsia" w:ascii="仿宋" w:hAnsi="仿宋" w:eastAsia="仿宋"/>
          <w:color w:val="auto"/>
          <w:sz w:val="24"/>
          <w:highlight w:val="none"/>
          <w:lang w:val="zh-CN"/>
        </w:rPr>
        <w:t>终验收原则上要求一次完成，若一次验收不成功，最多允许两次。</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2.</w:t>
      </w:r>
      <w:r>
        <w:rPr>
          <w:rFonts w:hint="eastAsia" w:ascii="仿宋" w:hAnsi="仿宋" w:eastAsia="仿宋"/>
          <w:color w:val="auto"/>
          <w:sz w:val="24"/>
          <w:highlight w:val="none"/>
          <w:lang w:val="en-US" w:eastAsia="zh-CN"/>
        </w:rPr>
        <w:t>7</w:t>
      </w:r>
      <w:r>
        <w:rPr>
          <w:rFonts w:hint="eastAsia" w:ascii="仿宋" w:hAnsi="仿宋" w:eastAsia="仿宋"/>
          <w:color w:val="auto"/>
          <w:sz w:val="24"/>
          <w:highlight w:val="none"/>
          <w:lang w:val="zh-CN"/>
        </w:rPr>
        <w:t>终验收通过后签署终验收报告，并移交、核对全部供货范围内物品。</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2.8一切</w:t>
      </w:r>
      <w:r>
        <w:rPr>
          <w:rFonts w:hint="eastAsia" w:ascii="仿宋" w:hAnsi="仿宋" w:eastAsia="仿宋"/>
          <w:color w:val="auto"/>
          <w:sz w:val="24"/>
          <w:highlight w:val="none"/>
          <w:lang w:val="zh-CN"/>
        </w:rPr>
        <w:t>按照甲方要求的验收标准为准，</w:t>
      </w:r>
      <w:r>
        <w:rPr>
          <w:rFonts w:hint="eastAsia" w:ascii="仿宋" w:hAnsi="仿宋" w:eastAsia="仿宋"/>
          <w:color w:val="auto"/>
          <w:sz w:val="24"/>
          <w:highlight w:val="none"/>
          <w:lang w:val="en-US" w:eastAsia="zh-CN"/>
        </w:rPr>
        <w:t>需满足甲方需求和认可，如果无法验收则</w:t>
      </w:r>
      <w:r>
        <w:rPr>
          <w:rFonts w:hint="eastAsia" w:ascii="仿宋" w:hAnsi="仿宋" w:eastAsia="仿宋"/>
          <w:color w:val="auto"/>
          <w:sz w:val="24"/>
          <w:highlight w:val="none"/>
          <w:lang w:val="zh-CN"/>
        </w:rPr>
        <w:t>一切后果完全由供应商承担。</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en-US" w:eastAsia="zh-CN"/>
        </w:rPr>
        <w:t xml:space="preserve">2.9乙方需做好技术培训，使甲方安全运营人员具备独立进行设备配置等实际实施的能力。 </w:t>
      </w:r>
    </w:p>
    <w:p>
      <w:pPr>
        <w:autoSpaceDE w:val="0"/>
        <w:autoSpaceDN w:val="0"/>
        <w:adjustRightInd w:val="0"/>
        <w:snapToGrid w:val="0"/>
        <w:spacing w:line="360" w:lineRule="auto"/>
        <w:ind w:firstLine="463" w:firstLineChars="192"/>
        <w:rPr>
          <w:rFonts w:hint="eastAsia" w:ascii="仿宋" w:hAnsi="仿宋" w:eastAsia="仿宋"/>
          <w:b/>
          <w:bCs/>
          <w:color w:val="auto"/>
          <w:sz w:val="24"/>
          <w:highlight w:val="none"/>
          <w:lang w:val="zh-CN"/>
        </w:rPr>
      </w:pPr>
      <w:r>
        <w:rPr>
          <w:rFonts w:hint="eastAsia" w:ascii="仿宋" w:hAnsi="仿宋" w:eastAsia="仿宋"/>
          <w:b/>
          <w:bCs/>
          <w:color w:val="auto"/>
          <w:sz w:val="24"/>
          <w:highlight w:val="none"/>
          <w:lang w:val="en-US" w:eastAsia="zh-CN"/>
        </w:rPr>
        <w:t>4.</w:t>
      </w:r>
      <w:r>
        <w:rPr>
          <w:rFonts w:hint="eastAsia" w:ascii="仿宋" w:hAnsi="仿宋" w:eastAsia="仿宋"/>
          <w:b/>
          <w:bCs/>
          <w:color w:val="auto"/>
          <w:sz w:val="24"/>
          <w:highlight w:val="none"/>
          <w:lang w:val="zh-CN"/>
        </w:rPr>
        <w:t>验收资料</w:t>
      </w:r>
    </w:p>
    <w:p>
      <w:pPr>
        <w:autoSpaceDE w:val="0"/>
        <w:autoSpaceDN w:val="0"/>
        <w:adjustRightInd w:val="0"/>
        <w:snapToGrid w:val="0"/>
        <w:spacing w:line="360" w:lineRule="auto"/>
        <w:ind w:firstLine="460" w:firstLineChars="192"/>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签订本合同后，乙方应按甲方要求免费提供给甲方包括但不限于：操作手册、</w:t>
      </w:r>
      <w:r>
        <w:rPr>
          <w:rFonts w:hint="eastAsia" w:ascii="仿宋" w:hAnsi="仿宋" w:eastAsia="仿宋"/>
          <w:color w:val="auto"/>
          <w:sz w:val="24"/>
          <w:highlight w:val="none"/>
          <w:lang w:val="en-US" w:eastAsia="zh-CN"/>
        </w:rPr>
        <w:t>培训资料</w:t>
      </w:r>
      <w:r>
        <w:rPr>
          <w:rFonts w:hint="eastAsia" w:ascii="仿宋" w:hAnsi="仿宋" w:eastAsia="仿宋"/>
          <w:color w:val="auto"/>
          <w:sz w:val="24"/>
          <w:highlight w:val="none"/>
          <w:lang w:val="zh-CN"/>
        </w:rPr>
        <w:t>、</w:t>
      </w:r>
      <w:r>
        <w:rPr>
          <w:rFonts w:hint="eastAsia" w:ascii="仿宋" w:hAnsi="仿宋" w:eastAsia="仿宋"/>
          <w:color w:val="auto"/>
          <w:sz w:val="24"/>
          <w:highlight w:val="none"/>
          <w:lang w:val="en-US" w:eastAsia="zh-CN"/>
        </w:rPr>
        <w:t>问题故障处理手册</w:t>
      </w:r>
      <w:r>
        <w:rPr>
          <w:rFonts w:hint="eastAsia" w:ascii="仿宋" w:hAnsi="仿宋" w:eastAsia="仿宋"/>
          <w:color w:val="auto"/>
          <w:sz w:val="24"/>
          <w:highlight w:val="none"/>
          <w:lang w:val="zh-CN"/>
        </w:rPr>
        <w:t>等甲方所需要的、与执行本合同有关的各类资料。如上述资料未按甲方要求交付的，甲方有权拒绝对合同设备验收，并且乙方应赔偿因此给甲方造成的一切损失。</w:t>
      </w:r>
    </w:p>
    <w:p>
      <w:pPr>
        <w:pStyle w:val="3"/>
        <w:keepNext w:val="0"/>
        <w:keepLines w:val="0"/>
        <w:numPr>
          <w:ilvl w:val="0"/>
          <w:numId w:val="20"/>
        </w:numPr>
        <w:spacing w:before="40" w:after="40" w:line="360" w:lineRule="auto"/>
        <w:ind w:left="420" w:hanging="420"/>
        <w:outlineLvl w:val="1"/>
        <w:rPr>
          <w:rFonts w:hint="eastAsia" w:ascii="黑体" w:hAnsi="黑体" w:eastAsia="黑体"/>
          <w:b w:val="0"/>
          <w:color w:val="auto"/>
          <w:sz w:val="24"/>
          <w:highlight w:val="none"/>
        </w:rPr>
      </w:pPr>
      <w:bookmarkStart w:id="51" w:name="_Toc18126"/>
      <w:r>
        <w:rPr>
          <w:rFonts w:hint="eastAsia" w:ascii="黑体" w:hAnsi="黑体" w:eastAsia="黑体"/>
          <w:b w:val="0"/>
          <w:color w:val="auto"/>
          <w:sz w:val="24"/>
          <w:highlight w:val="none"/>
        </w:rPr>
        <w:t>保密要求</w:t>
      </w:r>
      <w:bookmarkEnd w:id="51"/>
    </w:p>
    <w:p>
      <w:pPr>
        <w:numPr>
          <w:ilvl w:val="0"/>
          <w:numId w:val="24"/>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保密要求：成交中标人必须与招标人签署保密协议，成交中标人该项目所有成员须与招标人签署保密协议。如泄露或利用本项目中以及其他方式获取的招标人敏感信息，招标人将依法追究服务商相关法律责任。</w:t>
      </w:r>
    </w:p>
    <w:p>
      <w:pPr>
        <w:numPr>
          <w:ilvl w:val="0"/>
          <w:numId w:val="24"/>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服务商应确保将发现的全部问题提交给招标人，不得以任何方式透露给第三方。服务商对于招标人提供的资料，以及本项目实施过程中所涉及的所有文档、数据、介质和相关信息保密，未经许可，不得以任何形式向第三方传播。保密期限不受本项目期限的限制，在本项目履行完毕后，保密信息接受方仍应承担保密义务。</w:t>
      </w:r>
    </w:p>
    <w:p>
      <w:pPr>
        <w:numPr>
          <w:ilvl w:val="0"/>
          <w:numId w:val="24"/>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服务商应能保证所有参与服务人员的安全可靠性，不存在危害国家、社会和人民的违法违规记录，特别是不存在黑客、黑产、失信等记录。</w:t>
      </w:r>
    </w:p>
    <w:p>
      <w:pPr>
        <w:numPr>
          <w:ilvl w:val="0"/>
          <w:numId w:val="24"/>
        </w:numPr>
        <w:autoSpaceDE w:val="0"/>
        <w:autoSpaceDN w:val="0"/>
        <w:adjustRightInd w:val="0"/>
        <w:snapToGrid w:val="0"/>
        <w:spacing w:line="360" w:lineRule="auto"/>
        <w:ind w:left="425" w:leftChars="0" w:hanging="425" w:firstLineChars="0"/>
        <w:rPr>
          <w:rFonts w:hint="eastAsia" w:ascii="仿宋" w:hAnsi="仿宋" w:eastAsia="仿宋"/>
          <w:color w:val="auto"/>
          <w:sz w:val="24"/>
          <w:highlight w:val="none"/>
          <w:lang w:val="zh-CN"/>
        </w:rPr>
      </w:pPr>
      <w:r>
        <w:rPr>
          <w:rFonts w:hint="eastAsia" w:ascii="仿宋" w:hAnsi="仿宋" w:eastAsia="仿宋"/>
          <w:color w:val="auto"/>
          <w:sz w:val="24"/>
          <w:highlight w:val="none"/>
          <w:lang w:val="zh-CN"/>
        </w:rPr>
        <w:t>如因服务商单方面原因造成泄密，招标人将保留追究其法律责任的权利。</w:t>
      </w:r>
    </w:p>
    <w:p>
      <w:pPr>
        <w:pStyle w:val="3"/>
        <w:keepNext w:val="0"/>
        <w:keepLines w:val="0"/>
        <w:numPr>
          <w:ilvl w:val="0"/>
          <w:numId w:val="20"/>
        </w:numPr>
        <w:spacing w:before="40" w:after="40" w:line="360" w:lineRule="auto"/>
        <w:ind w:left="420" w:hanging="420"/>
        <w:outlineLvl w:val="1"/>
        <w:rPr>
          <w:rFonts w:hint="eastAsia" w:ascii="黑体" w:hAnsi="黑体" w:eastAsia="黑体"/>
          <w:b w:val="0"/>
          <w:color w:val="auto"/>
          <w:sz w:val="24"/>
          <w:highlight w:val="none"/>
        </w:rPr>
      </w:pPr>
      <w:bookmarkStart w:id="52" w:name="_Toc20646"/>
      <w:r>
        <w:rPr>
          <w:rFonts w:hint="eastAsia" w:ascii="黑体" w:hAnsi="黑体" w:eastAsia="黑体"/>
          <w:b w:val="0"/>
          <w:color w:val="auto"/>
          <w:sz w:val="24"/>
          <w:highlight w:val="none"/>
        </w:rPr>
        <w:t>评价标准</w:t>
      </w:r>
      <w:bookmarkEnd w:id="52"/>
    </w:p>
    <w:p>
      <w:pPr>
        <w:spacing w:line="360" w:lineRule="auto"/>
        <w:ind w:firstLine="480" w:firstLineChars="200"/>
        <w:rPr>
          <w:rFonts w:hint="eastAsia" w:ascii="宋体" w:hAnsi="宋体" w:eastAsia="宋体" w:cs="Times New Roman"/>
          <w:b/>
          <w:sz w:val="36"/>
          <w:szCs w:val="36"/>
        </w:rPr>
      </w:pPr>
      <w:r>
        <w:rPr>
          <w:rFonts w:hint="eastAsia" w:ascii="仿宋" w:hAnsi="仿宋" w:eastAsia="仿宋" w:cs="仿宋"/>
          <w:color w:val="auto"/>
          <w:kern w:val="0"/>
          <w:sz w:val="24"/>
          <w:highlight w:val="none"/>
        </w:rPr>
        <w:t>招标人项目评标委员会成员会按照本招标文件所阐述的项目技术要求等内容及现场方案讲解情况对投标人进行综合评价。</w:t>
      </w:r>
    </w:p>
    <w:p>
      <w:pPr>
        <w:pStyle w:val="20"/>
        <w:numPr>
          <w:ilvl w:val="255"/>
          <w:numId w:val="0"/>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四</w:t>
      </w:r>
      <w:r>
        <w:rPr>
          <w:rFonts w:hint="eastAsia" w:ascii="Calibri" w:hAnsi="Calibri" w:eastAsia="宋体" w:cs="Times New Roman"/>
          <w:b/>
          <w:bCs/>
          <w:kern w:val="44"/>
          <w:sz w:val="36"/>
          <w:szCs w:val="44"/>
        </w:rPr>
        <w:t>部分 投标文件编制</w:t>
      </w:r>
      <w:bookmarkEnd w:id="6"/>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投标人所投标设备详细技术资料清单，在标书中列示说明；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highlight w:val="yellow"/>
        </w:rPr>
        <w:t>电子版投标文件为纸质盖章版的扫描件</w:t>
      </w:r>
      <w:r>
        <w:rPr>
          <w:rFonts w:hint="eastAsia" w:eastAsia="宋体" w:cs="宋体"/>
          <w:bCs/>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numPr>
          <w:ilvl w:val="0"/>
          <w:numId w:val="25"/>
        </w:num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《投标文件（资质标）》包括</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同应标资质文件</w:t>
      </w:r>
      <w:r>
        <w:rPr>
          <w:rFonts w:hint="eastAsia" w:ascii="宋体" w:hAnsi="宋体" w:eastAsia="宋体" w:cs="宋体"/>
          <w:b/>
          <w:bCs/>
          <w:sz w:val="24"/>
          <w:szCs w:val="24"/>
          <w:lang w:eastAsia="zh-CN"/>
        </w:rPr>
        <w:t>）</w:t>
      </w:r>
      <w:r>
        <w:rPr>
          <w:rFonts w:hint="eastAsia" w:ascii="宋体" w:hAnsi="宋体" w:eastAsia="宋体" w:cs="宋体"/>
          <w:color w:val="000000"/>
          <w:sz w:val="24"/>
          <w:szCs w:val="24"/>
        </w:rPr>
        <w:t>：</w:t>
      </w:r>
    </w:p>
    <w:p>
      <w:pPr>
        <w:pStyle w:val="150"/>
        <w:numPr>
          <w:ilvl w:val="0"/>
          <w:numId w:val="0"/>
        </w:numPr>
        <w:ind w:leftChars="0"/>
        <w:rPr>
          <w:b w:val="0"/>
          <w:bCs/>
          <w:highlight w:val="none"/>
        </w:rPr>
      </w:pPr>
      <w:r>
        <w:rPr>
          <w:rFonts w:hint="eastAsia"/>
          <w:b w:val="0"/>
          <w:bCs/>
          <w:highlight w:val="none"/>
          <w:lang w:eastAsia="zh-CN"/>
        </w:rPr>
        <w:t>（</w:t>
      </w:r>
      <w:r>
        <w:rPr>
          <w:rFonts w:hint="eastAsia"/>
          <w:b w:val="0"/>
          <w:bCs/>
          <w:highlight w:val="none"/>
          <w:lang w:val="en-US" w:eastAsia="zh-CN"/>
        </w:rPr>
        <w:t>1</w:t>
      </w:r>
      <w:r>
        <w:rPr>
          <w:rFonts w:hint="eastAsia"/>
          <w:b w:val="0"/>
          <w:bCs/>
          <w:highlight w:val="none"/>
          <w:lang w:eastAsia="zh-CN"/>
        </w:rPr>
        <w:t>）</w:t>
      </w:r>
      <w:r>
        <w:rPr>
          <w:rFonts w:hint="eastAsia"/>
          <w:b w:val="0"/>
          <w:bCs/>
          <w:highlight w:val="none"/>
        </w:rPr>
        <w:t>法定代表人身份证明；</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2</w:t>
      </w:r>
      <w:r>
        <w:rPr>
          <w:rFonts w:hint="eastAsia" w:ascii="宋体"/>
          <w:b w:val="0"/>
          <w:bCs/>
          <w:highlight w:val="none"/>
          <w:lang w:eastAsia="zh-CN"/>
        </w:rPr>
        <w:t>）法定代表人授权委托书（授权人需带身份证原件）；</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3</w:t>
      </w:r>
      <w:r>
        <w:rPr>
          <w:rFonts w:hint="eastAsia" w:ascii="宋体"/>
          <w:b w:val="0"/>
          <w:bCs/>
          <w:highlight w:val="none"/>
          <w:lang w:eastAsia="zh-CN"/>
        </w:rPr>
        <w:t>）营业执照副本原件</w:t>
      </w:r>
      <w:r>
        <w:rPr>
          <w:rFonts w:hint="eastAsia" w:ascii="宋体"/>
          <w:b w:val="0"/>
          <w:bCs/>
          <w:highlight w:val="none"/>
          <w:lang w:val="en-US" w:eastAsia="zh-CN"/>
        </w:rPr>
        <w:t>或复印件并加盖公章</w:t>
      </w:r>
      <w:r>
        <w:rPr>
          <w:rFonts w:hint="eastAsia" w:ascii="宋体"/>
          <w:b w:val="0"/>
          <w:bCs/>
          <w:highlight w:val="none"/>
          <w:lang w:eastAsia="zh-CN"/>
        </w:rPr>
        <w:t>；</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4</w:t>
      </w:r>
      <w:r>
        <w:rPr>
          <w:rFonts w:hint="eastAsia" w:ascii="宋体"/>
          <w:b w:val="0"/>
          <w:bCs/>
          <w:highlight w:val="none"/>
          <w:lang w:eastAsia="zh-CN"/>
        </w:rPr>
        <w:t>）投标人应具有相应生产证明，若</w:t>
      </w:r>
      <w:r>
        <w:rPr>
          <w:rFonts w:hint="eastAsia" w:ascii="宋体"/>
          <w:b w:val="0"/>
          <w:bCs/>
          <w:highlight w:val="none"/>
          <w:lang w:val="en-US" w:eastAsia="zh-CN"/>
        </w:rPr>
        <w:t>非原厂商</w:t>
      </w:r>
      <w:r>
        <w:rPr>
          <w:rFonts w:hint="eastAsia" w:ascii="宋体"/>
          <w:b w:val="0"/>
          <w:bCs/>
          <w:highlight w:val="none"/>
          <w:lang w:eastAsia="zh-CN"/>
        </w:rPr>
        <w:t>需提供</w:t>
      </w:r>
      <w:r>
        <w:rPr>
          <w:rFonts w:hint="eastAsia" w:ascii="宋体"/>
          <w:b w:val="0"/>
          <w:bCs/>
          <w:highlight w:val="none"/>
          <w:lang w:val="en-US" w:eastAsia="zh-CN"/>
        </w:rPr>
        <w:t>原厂商</w:t>
      </w:r>
      <w:r>
        <w:rPr>
          <w:rFonts w:hint="eastAsia" w:ascii="宋体"/>
          <w:b w:val="0"/>
          <w:bCs/>
          <w:highlight w:val="none"/>
          <w:lang w:eastAsia="zh-CN"/>
        </w:rPr>
        <w:t>授权书（原件或加盖投标单位公章的彩色打印件）；</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5</w:t>
      </w:r>
      <w:r>
        <w:rPr>
          <w:rFonts w:hint="eastAsia" w:ascii="宋体"/>
          <w:b w:val="0"/>
          <w:bCs/>
          <w:highlight w:val="none"/>
          <w:lang w:eastAsia="zh-CN"/>
        </w:rPr>
        <w:t>）证明投标人满足投标资料表中列出的业绩要求的文件；</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6</w:t>
      </w:r>
      <w:r>
        <w:rPr>
          <w:rFonts w:hint="eastAsia" w:ascii="宋体"/>
          <w:b w:val="0"/>
          <w:bCs/>
          <w:highlight w:val="none"/>
          <w:lang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7</w:t>
      </w:r>
      <w:r>
        <w:rPr>
          <w:rFonts w:hint="eastAsia" w:ascii="宋体"/>
          <w:b w:val="0"/>
          <w:bCs/>
          <w:highlight w:val="none"/>
          <w:lang w:eastAsia="zh-CN"/>
        </w:rPr>
        <w:t>）企业最近半年完税证明、信用证明材料（征信报告）；</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8</w:t>
      </w:r>
      <w:r>
        <w:rPr>
          <w:rFonts w:hint="eastAsia" w:ascii="宋体"/>
          <w:b w:val="0"/>
          <w:bCs/>
          <w:highlight w:val="none"/>
          <w:lang w:eastAsia="zh-CN"/>
        </w:rPr>
        <w:t>）年度纳税信用评价信息（可从电子税务局查询截图，需加盖公章）；</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9</w:t>
      </w:r>
      <w:r>
        <w:rPr>
          <w:rFonts w:hint="eastAsia" w:ascii="宋体"/>
          <w:b w:val="0"/>
          <w:bCs/>
          <w:highlight w:val="none"/>
          <w:lang w:eastAsia="zh-CN"/>
        </w:rPr>
        <w:t>）企业对外担保说明（写明贵单位对外有无对外担保和质押业务，需加盖公章）。</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10</w:t>
      </w:r>
      <w:r>
        <w:rPr>
          <w:rFonts w:hint="eastAsia" w:ascii="宋体"/>
          <w:b w:val="0"/>
          <w:bCs/>
          <w:highlight w:val="none"/>
          <w:lang w:eastAsia="zh-CN"/>
        </w:rPr>
        <w:t>）信用中国截图或国家企业信用信息公示系统截图；</w:t>
      </w:r>
    </w:p>
    <w:p>
      <w:pPr>
        <w:pStyle w:val="150"/>
        <w:numPr>
          <w:ilvl w:val="0"/>
          <w:numId w:val="0"/>
        </w:numPr>
        <w:ind w:leftChars="0"/>
        <w:rPr>
          <w:rFonts w:hint="eastAsia" w:ascii="宋体"/>
          <w:b w:val="0"/>
          <w:bCs/>
          <w:highlight w:val="none"/>
          <w:lang w:eastAsia="zh-CN"/>
        </w:rPr>
      </w:pPr>
      <w:r>
        <w:rPr>
          <w:rFonts w:hint="eastAsia" w:ascii="宋体"/>
          <w:b w:val="0"/>
          <w:bCs/>
          <w:highlight w:val="none"/>
          <w:lang w:eastAsia="zh-CN"/>
        </w:rPr>
        <w:t>（</w:t>
      </w:r>
      <w:r>
        <w:rPr>
          <w:rFonts w:hint="eastAsia" w:ascii="宋体"/>
          <w:b w:val="0"/>
          <w:bCs/>
          <w:highlight w:val="none"/>
          <w:lang w:val="en-US" w:eastAsia="zh-CN"/>
        </w:rPr>
        <w:t>11</w:t>
      </w:r>
      <w:r>
        <w:rPr>
          <w:rFonts w:hint="eastAsia" w:ascii="宋体"/>
          <w:b w:val="0"/>
          <w:bCs/>
          <w:highlight w:val="none"/>
          <w:lang w:eastAsia="zh-CN"/>
        </w:rPr>
        <w:t>）招标文件中要求的其它资格证明文件。</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rPr>
          <w:rFonts w:hint="default" w:ascii="宋体" w:hAnsi="宋体" w:eastAsia="宋体" w:cs="宋体"/>
          <w:b/>
          <w:bCs w:val="0"/>
          <w:color w:val="FF0000"/>
          <w:sz w:val="18"/>
          <w:szCs w:val="18"/>
          <w:highlight w:val="none"/>
          <w:lang w:val="en-US" w:eastAsia="zh-CN"/>
        </w:rPr>
      </w:pPr>
      <w:r>
        <w:rPr>
          <w:rFonts w:hint="eastAsia"/>
          <w:b w:val="0"/>
          <w:bCs/>
          <w:highlight w:val="none"/>
        </w:rPr>
        <w:t>对于投标人资质审核不通过的，招标人有权拒绝其投标。</w:t>
      </w:r>
    </w:p>
    <w:p>
      <w:pPr>
        <w:numPr>
          <w:ilvl w:val="0"/>
          <w:numId w:val="0"/>
        </w:numPr>
        <w:spacing w:line="360" w:lineRule="auto"/>
        <w:rPr>
          <w:rFonts w:hint="eastAsia" w:ascii="宋体" w:hAnsi="宋体" w:eastAsia="宋体" w:cs="宋体"/>
          <w:color w:val="000000"/>
          <w:sz w:val="24"/>
          <w:szCs w:val="24"/>
        </w:rPr>
      </w:pPr>
    </w:p>
    <w:p>
      <w:pPr>
        <w:spacing w:line="360" w:lineRule="auto"/>
        <w:ind w:firstLine="482" w:firstLineChars="200"/>
        <w:rPr>
          <w:rFonts w:hint="eastAsia" w:ascii="宋体" w:hAnsi="宋体" w:eastAsia="宋体" w:cs="宋体"/>
          <w:b/>
          <w:bCs/>
          <w:sz w:val="24"/>
          <w:szCs w:val="24"/>
        </w:rPr>
      </w:pPr>
      <w:bookmarkStart w:id="53"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53"/>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设备分项配置表，列明项目设备分项配置规格型号、品牌等信息（要求分项明细与附表9-1完全对应）</w:t>
      </w:r>
      <w:r>
        <w:rPr>
          <w:rFonts w:hint="eastAsia" w:hAnsi="宋体" w:eastAsia="宋体" w:cs="宋体"/>
          <w:b/>
          <w:color w:val="000000"/>
          <w:sz w:val="24"/>
          <w:szCs w:val="24"/>
          <w:highlight w:val="yellow"/>
        </w:rPr>
        <w:t>；</w:t>
      </w:r>
    </w:p>
    <w:p>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2.3</w:t>
      </w:r>
      <w:r>
        <w:rPr>
          <w:rFonts w:hint="eastAsia" w:ascii="宋体" w:hAnsi="宋体" w:eastAsia="宋体" w:cs="宋体"/>
          <w:b/>
          <w:bCs/>
          <w:kern w:val="0"/>
          <w:sz w:val="24"/>
          <w:szCs w:val="20"/>
        </w:rPr>
        <w:t>提供本项目生命周期内所涉及到所有备品备件、易损件和专用耗材明细表（附件5-3），用于质保期外，招标人能够根据清单快速找到同规格产品。</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2.4提供</w:t>
      </w:r>
      <w:r>
        <w:rPr>
          <w:rFonts w:hint="eastAsia" w:ascii="宋体" w:hAnsi="宋体" w:eastAsia="宋体" w:cs="宋体"/>
          <w:color w:val="000000"/>
          <w:sz w:val="24"/>
          <w:szCs w:val="24"/>
          <w:highlight w:val="yellow"/>
        </w:rPr>
        <w:t>2023年8月1日</w:t>
      </w:r>
      <w:r>
        <w:rPr>
          <w:rFonts w:hint="eastAsia" w:ascii="宋体" w:hAnsi="宋体" w:eastAsia="宋体" w:cs="宋体"/>
          <w:color w:val="000000"/>
          <w:sz w:val="24"/>
          <w:szCs w:val="24"/>
        </w:rPr>
        <w:t>以来同类产品的制造销售业绩（附件6，用户名单、联系方式），并附合同复印件。该同类项目业绩一览表必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2.7交货进度及计划；</w:t>
      </w:r>
    </w:p>
    <w:p>
      <w:pPr>
        <w:spacing w:line="360" w:lineRule="auto"/>
        <w:ind w:firstLine="480" w:firstLineChars="200"/>
        <w:rPr>
          <w:rFonts w:hint="eastAsia" w:ascii="宋体" w:hAnsi="宋体" w:eastAsia="宋体" w:cs="宋体"/>
          <w:color w:val="000000"/>
          <w:sz w:val="24"/>
          <w:szCs w:val="24"/>
        </w:rPr>
      </w:pPr>
      <w:bookmarkStart w:id="54" w:name="_Toc536542319"/>
      <w:r>
        <w:rPr>
          <w:rFonts w:hint="eastAsia" w:ascii="宋体" w:hAnsi="宋体" w:eastAsia="宋体" w:cs="宋体"/>
          <w:color w:val="000000"/>
          <w:sz w:val="24"/>
          <w:szCs w:val="24"/>
        </w:rPr>
        <w:t>2.8投标产品技术支持材料</w:t>
      </w:r>
      <w:bookmarkEnd w:id="54"/>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 xml:space="preserve"> 所投设备及密码卡产品须为同一品牌，提供设备及密码卡《商用密码产品认证证书》。</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11投标技术文件</w:t>
      </w:r>
      <w:r>
        <w:rPr>
          <w:rFonts w:hint="eastAsia" w:ascii="宋体" w:hAnsi="宋体" w:eastAsia="宋体" w:cs="宋体"/>
          <w:color w:val="000000"/>
          <w:sz w:val="24"/>
          <w:szCs w:val="24"/>
        </w:rPr>
        <w:t>需</w:t>
      </w:r>
      <w:r>
        <w:rPr>
          <w:rFonts w:hint="eastAsia" w:ascii="宋体" w:hAnsi="宋体" w:eastAsia="宋体" w:cs="宋体"/>
          <w:color w:val="000000"/>
          <w:sz w:val="24"/>
          <w:szCs w:val="24"/>
          <w:lang w:val="en-US" w:eastAsia="zh-CN"/>
        </w:rPr>
        <w:t>针对技术协议书</w:t>
      </w:r>
      <w:r>
        <w:rPr>
          <w:rFonts w:hint="eastAsia" w:ascii="宋体" w:hAnsi="宋体" w:eastAsia="宋体" w:cs="宋体"/>
          <w:color w:val="000000"/>
          <w:sz w:val="24"/>
          <w:szCs w:val="24"/>
        </w:rPr>
        <w:t>提供点对点应答及相关证明材料（包括</w:t>
      </w:r>
      <w:r>
        <w:rPr>
          <w:rFonts w:hint="eastAsia" w:ascii="宋体" w:hAnsi="宋体" w:eastAsia="宋体" w:cs="宋体"/>
          <w:color w:val="000000"/>
          <w:sz w:val="24"/>
          <w:szCs w:val="24"/>
          <w:lang w:val="en-US" w:eastAsia="zh-CN"/>
        </w:rPr>
        <w:t>产品彩页</w:t>
      </w:r>
      <w:r>
        <w:rPr>
          <w:rFonts w:hint="eastAsia" w:ascii="宋体" w:hAnsi="宋体" w:eastAsia="宋体" w:cs="宋体"/>
          <w:color w:val="000000"/>
          <w:sz w:val="24"/>
          <w:szCs w:val="24"/>
        </w:rPr>
        <w:t>，功能截图，产品资质证书</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演示环境等</w:t>
      </w:r>
      <w:r>
        <w:rPr>
          <w:rFonts w:hint="eastAsia" w:ascii="宋体" w:hAnsi="宋体" w:eastAsia="宋体" w:cs="宋体"/>
          <w:color w:val="000000"/>
          <w:sz w:val="24"/>
          <w:szCs w:val="24"/>
        </w:rPr>
        <w:t>）。</w:t>
      </w:r>
    </w:p>
    <w:p>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2.13实施方案。</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投标人需提交的其它资料。</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pStyle w:val="150"/>
        <w:keepNext w:val="0"/>
        <w:keepLines w:val="0"/>
        <w:pageBreakBefore w:val="0"/>
        <w:widowControl w:val="0"/>
        <w:numPr>
          <w:ilvl w:val="0"/>
          <w:numId w:val="1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pPr>
        <w:pStyle w:val="150"/>
        <w:numPr>
          <w:ilvl w:val="0"/>
          <w:numId w:val="10"/>
        </w:numPr>
        <w:ind w:left="425" w:leftChars="0" w:hanging="425" w:firstLineChars="0"/>
        <w:rPr>
          <w:b w:val="0"/>
          <w:bCs/>
          <w:highlight w:val="yellow"/>
        </w:rPr>
      </w:pPr>
      <w:r>
        <w:rPr>
          <w:rFonts w:hint="eastAsia"/>
          <w:b w:val="0"/>
          <w:bCs/>
          <w:highlight w:val="yellow"/>
        </w:rPr>
        <w:t>投标函（格式见附件）;</w:t>
      </w:r>
    </w:p>
    <w:p>
      <w:pPr>
        <w:pStyle w:val="150"/>
        <w:numPr>
          <w:ilvl w:val="0"/>
          <w:numId w:val="10"/>
        </w:numPr>
        <w:ind w:left="425" w:leftChars="0" w:hanging="425" w:firstLineChars="0"/>
        <w:rPr>
          <w:b w:val="0"/>
          <w:bCs/>
          <w:highlight w:val="yellow"/>
        </w:rPr>
      </w:pPr>
      <w:r>
        <w:rPr>
          <w:rFonts w:hint="eastAsia"/>
          <w:b w:val="0"/>
          <w:bCs/>
          <w:highlight w:val="yellow"/>
        </w:rPr>
        <w:t>商务条款偏离表；</w:t>
      </w:r>
    </w:p>
    <w:p>
      <w:pPr>
        <w:pStyle w:val="150"/>
        <w:numPr>
          <w:ilvl w:val="0"/>
          <w:numId w:val="10"/>
        </w:numPr>
        <w:ind w:left="425" w:leftChars="0" w:hanging="425" w:firstLineChars="0"/>
        <w:rPr>
          <w:b w:val="0"/>
          <w:bCs/>
          <w:highlight w:val="yellow"/>
        </w:rPr>
      </w:pPr>
      <w:r>
        <w:rPr>
          <w:rFonts w:hint="eastAsia"/>
          <w:b w:val="0"/>
          <w:bCs/>
          <w:highlight w:val="yellow"/>
        </w:rPr>
        <w:t>投标货物分项报价表；</w:t>
      </w:r>
    </w:p>
    <w:p>
      <w:pPr>
        <w:pStyle w:val="150"/>
        <w:keepNext w:val="0"/>
        <w:keepLines w:val="0"/>
        <w:pageBreakBefore w:val="0"/>
        <w:widowControl w:val="0"/>
        <w:numPr>
          <w:ilvl w:val="0"/>
          <w:numId w:val="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48.025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pPr>
        <w:pStyle w:val="149"/>
        <w:keepNext w:val="0"/>
        <w:keepLines w:val="0"/>
        <w:pageBreakBefore w:val="0"/>
        <w:widowControl w:val="0"/>
        <w:numPr>
          <w:ilvl w:val="0"/>
          <w:numId w:val="0"/>
        </w:numPr>
        <w:kinsoku/>
        <w:wordWrap/>
        <w:overflowPunct/>
        <w:topLinePunct w:val="0"/>
        <w:autoSpaceDE/>
        <w:autoSpaceDN/>
        <w:bidi w:val="0"/>
        <w:adjustRightInd/>
        <w:snapToGrid/>
        <w:ind w:leftChars="0"/>
        <w:textAlignment w:val="auto"/>
        <w:outlineLvl w:val="1"/>
        <w:rPr>
          <w:rFonts w:hint="eastAsia" w:cs="Times New Roman"/>
          <w:b w:val="0"/>
          <w:lang w:val="en-US" w:eastAsia="zh-CN"/>
        </w:rPr>
      </w:pPr>
      <w:r>
        <w:rPr>
          <w:rFonts w:hint="eastAsia" w:cs="Times New Roman"/>
          <w:b w:val="0"/>
          <w:lang w:val="en-US" w:eastAsia="zh-CN"/>
        </w:rPr>
        <w:t>投标文件的投递</w:t>
      </w:r>
    </w:p>
    <w:p>
      <w:pPr>
        <w:pStyle w:val="150"/>
        <w:numPr>
          <w:ilvl w:val="0"/>
          <w:numId w:val="11"/>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投标方式：在中国重汽e采通平台应标成功后，进入“供应商投标”环节，投递盖章扫描版电子</w:t>
      </w:r>
    </w:p>
    <w:p>
      <w:pPr>
        <w:pStyle w:val="150"/>
        <w:numPr>
          <w:ilvl w:val="0"/>
          <w:numId w:val="0"/>
        </w:numPr>
        <w:ind w:left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标书（包含资质标书、技术标书、商务标书），若逾期未在中国重汽e采通平台上传电子标书，即便递交了纸版投标文件，一律视为无效。纸质版投标文件的份数要求为正本一份，资质投标书、技术投标书及商务投标书的同类文件封装在一个包封里，包封表面按照附件13标注文件信息；共计三个包封。如选择到场参与开标，自行携带纸质投标文件于开标前至开标地点即可。如选择线上参与开标，纸质投标文件需在开标日前两天，邮寄到指定地址。</w:t>
      </w:r>
    </w:p>
    <w:p>
      <w:pPr>
        <w:pStyle w:val="150"/>
        <w:numPr>
          <w:ilvl w:val="0"/>
          <w:numId w:val="11"/>
        </w:numPr>
        <w:ind w:left="425" w:leftChars="0" w:hanging="425" w:firstLineChars="0"/>
        <w:rPr>
          <w:rFonts w:hint="eastAsia" w:ascii="宋体" w:hAnsi="Courier New" w:eastAsia="宋体" w:cs="Times New Roman"/>
          <w:b w:val="0"/>
          <w:bCs/>
          <w:highlight w:val="yellow"/>
        </w:rPr>
      </w:pPr>
      <w:r>
        <w:rPr>
          <w:rFonts w:hint="eastAsia" w:ascii="宋体" w:hAnsi="Courier New" w:eastAsia="宋体" w:cs="Times New Roman"/>
          <w:b w:val="0"/>
          <w:bCs/>
          <w:highlight w:val="yellow"/>
          <w:lang w:val="en-US" w:eastAsia="zh-CN"/>
        </w:rPr>
        <w:t>邮寄地址：山东省济南市历城区华奥路777号</w:t>
      </w:r>
    </w:p>
    <w:p>
      <w:pPr>
        <w:pStyle w:val="150"/>
        <w:numPr>
          <w:ilvl w:val="0"/>
          <w:numId w:val="11"/>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联系人及联系方式：</w:t>
      </w:r>
    </w:p>
    <w:p>
      <w:pPr>
        <w:pStyle w:val="150"/>
        <w:numPr>
          <w:ilvl w:val="0"/>
          <w:numId w:val="1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20XX年XX月XX日XX:XX:XX</w:t>
      </w:r>
    </w:p>
    <w:p>
      <w:pPr>
        <w:keepNext/>
        <w:keepLines/>
        <w:spacing w:line="360" w:lineRule="auto"/>
        <w:outlineLvl w:val="1"/>
        <w:rPr>
          <w:rFonts w:hint="eastAsia" w:ascii="宋体" w:hAnsi="宋体" w:eastAsia="宋体" w:cs="宋体"/>
          <w:b/>
          <w:bCs/>
          <w:sz w:val="24"/>
          <w:szCs w:val="24"/>
        </w:rPr>
      </w:pP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eastAsiaTheme="minorEastAsia"/>
          <w:lang w:eastAsia="zh-CN"/>
        </w:rPr>
        <w:sectPr>
          <w:headerReference r:id="rId9" w:type="default"/>
          <w:footerReference r:id="rId10" w:type="default"/>
          <w:pgSz w:w="11907" w:h="16840"/>
          <w:pgMar w:top="1304" w:right="1418" w:bottom="1304" w:left="1418" w:header="724" w:footer="851" w:gutter="0"/>
          <w:cols w:space="720" w:num="1"/>
          <w:docGrid w:linePitch="290" w:charSpace="-3931"/>
        </w:sectPr>
      </w:pPr>
      <w:r>
        <w:rPr>
          <w:rFonts w:hint="eastAsia" w:ascii="宋体" w:hAnsi="宋体" w:eastAsia="宋体" w:cs="宋体"/>
          <w:color w:val="000000"/>
          <w:sz w:val="24"/>
          <w:szCs w:val="24"/>
        </w:rPr>
        <w:t>详见第六部分投标文件附件格式1—13，其余未尽事宜请按各单位习惯制定即可。</w:t>
      </w:r>
    </w:p>
    <w:bookmarkEnd w:id="0"/>
    <w:bookmarkEnd w:id="1"/>
    <w:p>
      <w:pPr>
        <w:keepNext/>
        <w:keepLines/>
        <w:jc w:val="center"/>
        <w:outlineLvl w:val="0"/>
        <w:rPr>
          <w:rFonts w:ascii="Calibri" w:hAnsi="Calibri" w:eastAsia="宋体" w:cs="Times New Roman"/>
          <w:b/>
          <w:bCs/>
          <w:kern w:val="44"/>
          <w:sz w:val="36"/>
          <w:szCs w:val="44"/>
        </w:rPr>
      </w:pPr>
      <w:bookmarkStart w:id="55" w:name="_Toc29691"/>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五</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55"/>
    </w:p>
    <w:p>
      <w:pPr>
        <w:keepNext/>
        <w:keepLines/>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0"/>
        <w:rPr>
          <w:rFonts w:ascii="Times New Roman" w:hAnsi="Times New Roman" w:eastAsia="宋体" w:cs="Times New Roman"/>
          <w:b/>
          <w:bCs/>
          <w:color w:val="000000"/>
          <w:sz w:val="24"/>
          <w:szCs w:val="24"/>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6" w:name="_Toc353881012"/>
      <w:bookmarkStart w:id="57" w:name="_Toc25811"/>
      <w:bookmarkStart w:id="58" w:name="_Toc212369550"/>
      <w:bookmarkStart w:id="59"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6"/>
      <w:bookmarkEnd w:id="57"/>
      <w:bookmarkEnd w:id="58"/>
      <w:bookmarkEnd w:id="59"/>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u w:val="single"/>
        </w:rPr>
        <w:t>HTTPS加密流量检测设备建设项目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yellow"/>
          <w:u w:val="single"/>
        </w:rPr>
        <w:t>HTTPS加密流量检测设备建设项目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0"/>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3"/>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3"/>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3"/>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3"/>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14"/>
              <w:ind w:left="720"/>
              <w:rPr>
                <w:rFonts w:hint="eastAsia"/>
              </w:rPr>
            </w:pPr>
            <w:r>
              <w:t xml:space="preserve">品牌区分 </w:t>
            </w:r>
          </w:p>
        </w:tc>
        <w:tc>
          <w:tcPr>
            <w:tcW w:w="7500" w:type="dxa"/>
            <w:gridSpan w:val="6"/>
          </w:tcPr>
          <w:p>
            <w:pPr>
              <w:pStyle w:val="13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3"/>
              <w:spacing w:before="15"/>
              <w:ind w:left="279"/>
              <w:rPr>
                <w:rFonts w:hint="eastAsia"/>
              </w:rPr>
            </w:pPr>
            <w:r>
              <w:rPr>
                <w:spacing w:val="-2"/>
              </w:rPr>
              <w:t>质量</w:t>
            </w:r>
            <w:r>
              <w:t xml:space="preserve"> </w:t>
            </w:r>
          </w:p>
          <w:p>
            <w:pPr>
              <w:pStyle w:val="133"/>
              <w:spacing w:before="30" w:line="277" w:lineRule="exact"/>
              <w:ind w:left="279"/>
              <w:rPr>
                <w:rFonts w:hint="eastAsia"/>
              </w:rPr>
            </w:pPr>
            <w:r>
              <w:rPr>
                <w:rFonts w:hint="eastAsia"/>
              </w:rPr>
              <w:t>体系</w:t>
            </w:r>
          </w:p>
        </w:tc>
        <w:tc>
          <w:tcPr>
            <w:tcW w:w="2820" w:type="dxa"/>
            <w:gridSpan w:val="2"/>
          </w:tcPr>
          <w:p>
            <w:pPr>
              <w:pStyle w:val="133"/>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3"/>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pStyle w:val="20"/>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rPr>
        <w:t>HTTPS加密流量检测设备建设项目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rPr>
        <w:t>HTTPS加密流量检测设备建设项目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1"/>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pPr>
              <w:spacing w:before="98" w:line="185" w:lineRule="auto"/>
              <w:ind w:left="51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pPr>
              <w:spacing w:before="100" w:line="182" w:lineRule="auto"/>
              <w:ind w:left="798"/>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pPr>
              <w:spacing w:before="100" w:line="182" w:lineRule="auto"/>
              <w:ind w:left="1007"/>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pPr>
              <w:spacing w:before="99" w:line="183"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608"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471"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472" w:type="dxa"/>
          </w:tcPr>
          <w:p>
            <w:pPr>
              <w:rPr>
                <w:rFonts w:hint="eastAsia" w:ascii="Arial"/>
              </w:rPr>
            </w:pPr>
          </w:p>
        </w:tc>
        <w:tc>
          <w:tcPr>
            <w:tcW w:w="1474" w:type="dxa"/>
          </w:tcPr>
          <w:p>
            <w:pPr>
              <w:rPr>
                <w:rFonts w:hint="eastAsia" w:ascii="Arial"/>
              </w:rPr>
            </w:pPr>
          </w:p>
        </w:tc>
        <w:tc>
          <w:tcPr>
            <w:tcW w:w="2014" w:type="dxa"/>
          </w:tcPr>
          <w:p>
            <w:pPr>
              <w:rPr>
                <w:rFonts w:hint="eastAsia" w:ascii="Arial"/>
              </w:rPr>
            </w:pPr>
          </w:p>
        </w:tc>
        <w:tc>
          <w:tcPr>
            <w:tcW w:w="2608" w:type="dxa"/>
            <w:tcBorders>
              <w:left w:val="single" w:color="000000" w:sz="4" w:space="0"/>
            </w:tcBorders>
          </w:tcPr>
          <w:p>
            <w:pPr>
              <w:rPr>
                <w:rFonts w:hint="eastAsia" w:ascii="Arial"/>
              </w:rPr>
            </w:pPr>
          </w:p>
        </w:tc>
        <w:tc>
          <w:tcPr>
            <w:tcW w:w="1496"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105" w:lineRule="exact"/>
        <w:rPr>
          <w:rFonts w:hint="eastAsia"/>
        </w:rPr>
      </w:pPr>
    </w:p>
    <w:p>
      <w:pPr>
        <w:rPr>
          <w:rFonts w:hint="eastAsia" w:eastAsia="宋体"/>
        </w:rPr>
        <w:sectPr>
          <w:footerReference r:id="rId20"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附件5-3</w:t>
      </w:r>
      <w:r>
        <w:rPr>
          <w:rFonts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rPr>
        <w:t>本项目全生命周期内备品备件、易损件和专用耗材明细表</w:t>
      </w:r>
    </w:p>
    <w:p>
      <w:pPr>
        <w:adjustRightInd w:val="0"/>
        <w:snapToGrid w:val="0"/>
        <w:spacing w:line="360" w:lineRule="auto"/>
        <w:rPr>
          <w:rFonts w:hint="eastAsia" w:ascii="宋体" w:hAnsi="宋体" w:eastAsia="宋体" w:cs="宋体"/>
          <w:b/>
          <w:bCs/>
          <w:sz w:val="24"/>
          <w:szCs w:val="24"/>
          <w:highlight w:val="yellow"/>
        </w:rPr>
      </w:pPr>
    </w:p>
    <w:p>
      <w:pPr>
        <w:adjustRightInd w:val="0"/>
        <w:snapToGrid w:val="0"/>
        <w:spacing w:line="420" w:lineRule="exact"/>
        <w:ind w:firstLine="1890" w:firstLineChars="900"/>
        <w:rPr>
          <w:rFonts w:hint="eastAsia"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39"/>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1518"/>
        <w:gridCol w:w="899"/>
        <w:gridCol w:w="1387"/>
        <w:gridCol w:w="706"/>
        <w:gridCol w:w="847"/>
        <w:gridCol w:w="1646"/>
        <w:gridCol w:w="1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3" w:hRule="atLeast"/>
        </w:trPr>
        <w:tc>
          <w:tcPr>
            <w:tcW w:w="7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51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8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品牌</w:t>
            </w:r>
          </w:p>
        </w:tc>
        <w:tc>
          <w:tcPr>
            <w:tcW w:w="138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0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84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市场价</w:t>
            </w:r>
          </w:p>
        </w:tc>
        <w:tc>
          <w:tcPr>
            <w:tcW w:w="164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重汽折扣价</w:t>
            </w:r>
          </w:p>
        </w:tc>
        <w:tc>
          <w:tcPr>
            <w:tcW w:w="197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bl>
    <w:p>
      <w:pPr>
        <w:spacing w:before="78" w:line="219" w:lineRule="auto"/>
        <w:ind w:left="431"/>
        <w:rPr>
          <w:rFonts w:hint="eastAsia" w:ascii="宋体" w:hAnsi="宋体" w:eastAsia="宋体" w:cs="宋体"/>
          <w:spacing w:val="-6"/>
          <w:szCs w:val="21"/>
        </w:rPr>
      </w:pPr>
    </w:p>
    <w:p>
      <w:pPr>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注：必须提供本项目生命周期内所涉及到所有备品备件、易损件和专用耗材明细表，以便于质保期外，招标人能够根据清单快速找到同规格产品。</w:t>
      </w:r>
    </w:p>
    <w:p>
      <w:pPr>
        <w:spacing w:line="660" w:lineRule="exact"/>
        <w:rPr>
          <w:rFonts w:hint="eastAsia" w:ascii="宋体" w:hAnsi="宋体"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pPr>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2023年8月1日至今同类项目业绩一览表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rPr>
        <w:t>HTTPS加密流量检测设备建设项目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jc w:val="center"/>
              <w:rPr>
                <w:rFonts w:hint="eastAsia" w:ascii="宋体" w:hAnsi="宋体" w:eastAsia="宋体" w:cs="宋体"/>
                <w:spacing w:val="-1"/>
                <w:sz w:val="24"/>
                <w:szCs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bCs/>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23</w:t>
            </w:r>
            <w:r>
              <w:rPr>
                <w:rFonts w:ascii="宋体" w:hAnsi="宋体" w:eastAsia="宋体" w:cs="宋体"/>
                <w:sz w:val="24"/>
                <w:szCs w:val="24"/>
                <w:highlight w:val="yellow"/>
              </w:rPr>
              <w:t>年</w:t>
            </w:r>
            <w:r>
              <w:rPr>
                <w:rFonts w:hint="eastAsia" w:ascii="宋体" w:hAnsi="宋体" w:eastAsia="宋体" w:cs="宋体"/>
                <w:sz w:val="24"/>
                <w:szCs w:val="24"/>
                <w:highlight w:val="yellow"/>
              </w:rPr>
              <w:t>8</w:t>
            </w:r>
            <w:r>
              <w:rPr>
                <w:rFonts w:ascii="宋体" w:hAnsi="宋体" w:eastAsia="宋体" w:cs="宋体"/>
                <w:sz w:val="24"/>
                <w:szCs w:val="24"/>
                <w:highlight w:val="yellow"/>
              </w:rPr>
              <w:t>月1日至今所有业绩合同总额汇总（必填</w:t>
            </w:r>
            <w:r>
              <w:rPr>
                <w:rFonts w:hint="eastAsia" w:ascii="宋体" w:hAnsi="宋体" w:eastAsia="宋体" w:cs="宋体"/>
                <w:sz w:val="24"/>
                <w:szCs w:val="24"/>
                <w:highlight w:val="yellow"/>
              </w:rPr>
              <w:t>）</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提供2023年8月1日以来同类产品的制造销售业绩（用户名单、联系方式）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u w:val="single"/>
        </w:rPr>
        <w:t>HTTPS加密流量检测设备建设项目</w:t>
      </w: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rPr>
        <w:t>HTTPS加密流量检测设备建设项目</w:t>
      </w:r>
      <w:r>
        <w:rPr>
          <w:rFonts w:ascii="宋体" w:hAnsi="宋体" w:eastAsia="宋体" w:cs="Times New Roman"/>
          <w:color w:val="000000"/>
          <w:sz w:val="24"/>
          <w:szCs w:val="24"/>
        </w:rPr>
        <w:t xml:space="preserve">                                                        </w:t>
      </w:r>
    </w:p>
    <w:tbl>
      <w:tblPr>
        <w:tblStyle w:val="3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r>
              <w:rPr>
                <w:rFonts w:hint="eastAsia" w:ascii="宋体" w:hAnsi="宋体" w:eastAsia="宋体" w:cs="宋体"/>
                <w:b/>
                <w:bCs/>
                <w:sz w:val="24"/>
                <w:szCs w:val="24"/>
                <w:u w:val="single"/>
              </w:rPr>
              <w:t>1000kW级电池系统试验台项目</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0"/>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0"/>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tcPr>
          <w:p>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tcPr>
          <w:p>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069" w:type="dxa"/>
          </w:tcPr>
          <w:p>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总价[5×8]（不含税）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238"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590" w:type="dxa"/>
            <w:gridSpan w:val="7"/>
            <w:tcBorders>
              <w:right w:val="single" w:color="000000" w:sz="4" w:space="0"/>
            </w:tcBorders>
          </w:tcPr>
          <w:p>
            <w:pPr>
              <w:jc w:val="center"/>
              <w:rPr>
                <w:rFonts w:hint="eastAsia"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rPr>
          <w:rFonts w:hint="eastAsia"/>
        </w:rPr>
      </w:pPr>
    </w:p>
    <w:p>
      <w:pPr>
        <w:rPr>
          <w:rFonts w:hint="eastAsia"/>
        </w:rPr>
        <w:sectPr>
          <w:footerReference r:id="rId23"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4"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tcPr>
          <w:p>
            <w:pPr>
              <w:spacing w:before="266" w:line="221" w:lineRule="auto"/>
              <w:jc w:val="center"/>
              <w:rPr>
                <w:rFonts w:hint="eastAsia" w:ascii="宋体" w:hAnsi="宋体" w:eastAsia="宋体" w:cs="宋体"/>
                <w:sz w:val="24"/>
                <w:szCs w:val="24"/>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5</w:t>
            </w:r>
          </w:p>
        </w:tc>
        <w:tc>
          <w:tcPr>
            <w:tcW w:w="3625" w:type="dxa"/>
          </w:tcPr>
          <w:p>
            <w:pPr>
              <w:spacing w:before="266" w:line="221" w:lineRule="auto"/>
              <w:jc w:val="center"/>
              <w:rPr>
                <w:rFonts w:hint="eastAsia" w:ascii="宋体" w:hAnsi="宋体" w:eastAsia="宋体" w:cs="宋体"/>
                <w:sz w:val="24"/>
                <w:szCs w:val="24"/>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6</w:t>
            </w:r>
          </w:p>
        </w:tc>
        <w:tc>
          <w:tcPr>
            <w:tcW w:w="3625" w:type="dxa"/>
          </w:tcPr>
          <w:p>
            <w:pPr>
              <w:spacing w:before="266" w:line="221" w:lineRule="auto"/>
              <w:jc w:val="center"/>
              <w:rPr>
                <w:rFonts w:hint="eastAsia" w:ascii="宋体" w:hAnsi="宋体" w:eastAsia="宋体" w:cs="宋体"/>
                <w:spacing w:val="-2"/>
                <w:szCs w:val="21"/>
                <w:highlight w:val="yellow"/>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0"/>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5"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1"/>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tcPr>
          <w:p>
            <w:pPr>
              <w:spacing w:before="101" w:line="185" w:lineRule="auto"/>
              <w:ind w:left="371"/>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2239" w:type="dxa"/>
          </w:tcPr>
          <w:p>
            <w:pPr>
              <w:spacing w:before="103" w:line="182" w:lineRule="auto"/>
              <w:ind w:left="107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1498" w:type="dxa"/>
          </w:tcPr>
          <w:p>
            <w:pPr>
              <w:spacing w:before="102" w:line="183" w:lineRule="auto"/>
              <w:ind w:left="58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1861" w:type="dxa"/>
          </w:tcPr>
          <w:p>
            <w:pPr>
              <w:spacing w:before="103" w:line="182" w:lineRule="auto"/>
              <w:ind w:left="1010"/>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120" w:type="dxa"/>
          </w:tcPr>
          <w:p>
            <w:pPr>
              <w:spacing w:before="102" w:line="183" w:lineRule="auto"/>
              <w:ind w:left="516"/>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1125" w:type="dxa"/>
          </w:tcPr>
          <w:p>
            <w:pPr>
              <w:spacing w:before="102" w:line="183" w:lineRule="auto"/>
              <w:ind w:left="51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253" w:line="224" w:lineRule="auto"/>
        <w:ind w:left="6488"/>
        <w:rPr>
          <w:rFonts w:hint="eastAsia" w:ascii="宋体" w:hAnsi="宋体" w:eastAsia="宋体" w:cs="宋体"/>
          <w:spacing w:val="9"/>
          <w:sz w:val="24"/>
          <w:szCs w:val="24"/>
          <w14:textOutline w14:w="5791" w14:cap="flat" w14:cmpd="sng" w14:algn="ctr">
            <w14:solidFill>
              <w14:srgbClr w14:val="000000"/>
            </w14:solidFill>
            <w14:prstDash w14:val="solid"/>
            <w14:miter w14:val="0"/>
          </w14:textOutline>
        </w:r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1</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9-1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2</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9-2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3</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9-3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4</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9-4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5</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0"/>
      </w:pPr>
    </w:p>
    <w:p>
      <w:pPr>
        <w:pStyle w:val="20"/>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bCs/>
                <w:sz w:val="24"/>
                <w:szCs w:val="24"/>
                <w:u w:val="single"/>
              </w:rPr>
              <w:t>HTTPS加密流量检测设备建设项目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u w:val="single"/>
        </w:rPr>
        <w:t>HTTPS加密流量检测设备建设项目</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pStyle w:val="20"/>
        <w:rPr>
          <w:rFonts w:hint="eastAsia" w:hAnsi="宋体" w:eastAsia="宋体" w:cs="宋体"/>
          <w:sz w:val="24"/>
          <w:szCs w:val="24"/>
        </w:rPr>
      </w:pPr>
    </w:p>
    <w:p>
      <w:pPr>
        <w:pStyle w:val="20"/>
        <w:rPr>
          <w:rFonts w:hint="eastAsia" w:hAnsi="宋体" w:eastAsia="宋体" w:cs="宋体"/>
          <w:sz w:val="24"/>
          <w:szCs w:val="24"/>
        </w:rPr>
      </w:pPr>
    </w:p>
    <w:p>
      <w:pPr>
        <w:spacing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20"/>
        <w:rPr>
          <w:rFonts w:hint="eastAsia" w:hAnsi="宋体" w:eastAsia="宋体" w:cs="宋体"/>
          <w:sz w:val="24"/>
          <w:szCs w:val="24"/>
        </w:rPr>
        <w:sectPr>
          <w:footerReference r:id="rId27"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b/>
          <w:bCs/>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rPr>
        <w:t>HTTPS加密流量检测设备建设项目</w:t>
      </w: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0"/>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u w:val="single"/>
              </w:rPr>
              <w:t>HTTPS加密流量检测设备建设项目</w:t>
            </w:r>
            <w:bookmarkStart w:id="60" w:name="_GoBack"/>
            <w:bookmarkEnd w:id="60"/>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0"/>
      </w:pPr>
    </w:p>
    <w:p>
      <w:pPr>
        <w:jc w:val="right"/>
        <w:rPr>
          <w:rFonts w:hint="eastAsia"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pPr>
        <w:keepNext/>
        <w:keepLines/>
        <w:spacing w:before="156" w:beforeLines="50" w:after="156" w:afterLines="50" w:line="360" w:lineRule="auto"/>
        <w:jc w:val="left"/>
        <w:outlineLvl w:val="2"/>
        <w:rPr>
          <w:rFonts w:hint="eastAsia" w:ascii="宋体" w:hAnsi="宋体" w:eastAsia="宋体" w:cs="Times New Roman"/>
          <w:b/>
          <w:bCs/>
          <w:sz w:val="24"/>
          <w:szCs w:val="24"/>
        </w:rPr>
      </w:pPr>
      <w:r>
        <w:rPr>
          <w:rFonts w:hint="eastAsia" w:ascii="宋体" w:hAnsi="宋体" w:eastAsia="宋体" w:cs="Times New Roman"/>
          <w:b/>
          <w:bCs/>
          <w:sz w:val="24"/>
          <w:szCs w:val="24"/>
        </w:rPr>
        <w:t>附件14技术标评分标准</w:t>
      </w:r>
    </w:p>
    <w:tbl>
      <w:tblPr>
        <w:tblStyle w:val="39"/>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最高</w:t>
            </w:r>
          </w:p>
          <w:p>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pPr>
              <w:jc w:val="center"/>
              <w:rPr>
                <w:rFonts w:ascii="宋体"/>
              </w:rPr>
            </w:pPr>
            <w:r>
              <w:rPr>
                <w:rFonts w:hint="eastAsia" w:ascii="宋体" w:hAnsi="宋体"/>
                <w:szCs w:val="21"/>
                <w:lang w:val="en-US" w:eastAsia="zh-CN"/>
              </w:rPr>
              <w:t>投标人信誉及能力</w:t>
            </w:r>
          </w:p>
        </w:tc>
        <w:tc>
          <w:tcPr>
            <w:tcW w:w="650"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14</w:t>
            </w:r>
          </w:p>
        </w:tc>
        <w:tc>
          <w:tcPr>
            <w:tcW w:w="6153" w:type="dxa"/>
            <w:tcBorders>
              <w:top w:val="single" w:color="auto" w:sz="4" w:space="0"/>
              <w:left w:val="single" w:color="auto" w:sz="4" w:space="0"/>
              <w:bottom w:val="single" w:color="auto" w:sz="4" w:space="0"/>
              <w:right w:val="single" w:color="auto" w:sz="4" w:space="0"/>
            </w:tcBorders>
            <w:vAlign w:val="center"/>
          </w:tcPr>
          <w:p>
            <w:pPr>
              <w:tabs>
                <w:tab w:val="left" w:pos="7854"/>
              </w:tabs>
              <w:spacing w:line="280" w:lineRule="exact"/>
              <w:rPr>
                <w:rFonts w:hint="eastAsia"/>
              </w:rPr>
            </w:pPr>
            <w:r>
              <w:rPr>
                <w:rFonts w:hint="eastAsia"/>
              </w:rPr>
              <w:t>1.投标人具有《ISO27001》、《ISO20000》证书的，每提供1个得2分，最高得</w:t>
            </w:r>
            <w:r>
              <w:rPr>
                <w:rFonts w:hint="eastAsia"/>
                <w:lang w:val="en-US" w:eastAsia="zh-CN"/>
              </w:rPr>
              <w:t>4</w:t>
            </w:r>
            <w:r>
              <w:rPr>
                <w:rFonts w:hint="eastAsia"/>
              </w:rPr>
              <w:t>分。</w:t>
            </w:r>
          </w:p>
          <w:p>
            <w:pPr>
              <w:tabs>
                <w:tab w:val="left" w:pos="7854"/>
              </w:tabs>
              <w:spacing w:line="280" w:lineRule="exact"/>
              <w:rPr>
                <w:rFonts w:hint="eastAsia"/>
              </w:rPr>
            </w:pPr>
            <w:r>
              <w:rPr>
                <w:rFonts w:hint="eastAsia"/>
              </w:rPr>
              <w:t>2.提供自2023年8月1日至今（以签订合同时间为准）签署的大型企业网络安全项目业绩（与本项目相关），每提供一份项目业绩证明的得1分，最多得10分，不提供不得分。</w:t>
            </w:r>
          </w:p>
          <w:p>
            <w:pPr>
              <w:tabs>
                <w:tab w:val="left" w:pos="7854"/>
              </w:tabs>
              <w:spacing w:line="280" w:lineRule="exact"/>
            </w:pPr>
            <w:r>
              <w:rPr>
                <w:rFonts w:hint="eastAsia"/>
              </w:rPr>
              <w:t>（注：需在投标文件中提供完整合同复印件加盖公章，否则不得分）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ascii="宋体"/>
                <w:szCs w:val="21"/>
              </w:rPr>
            </w:pPr>
            <w:r>
              <w:rPr>
                <w:rFonts w:hint="eastAsia" w:ascii="宋体" w:hAnsi="宋体"/>
                <w:szCs w:val="21"/>
              </w:rPr>
              <w:t>厂商</w:t>
            </w:r>
            <w:r>
              <w:rPr>
                <w:rFonts w:hint="eastAsia" w:ascii="宋体" w:hAnsi="宋体"/>
                <w:szCs w:val="21"/>
                <w:lang w:val="en-US" w:eastAsia="zh-CN"/>
              </w:rPr>
              <w:t>及产品</w:t>
            </w:r>
            <w:r>
              <w:rPr>
                <w:rFonts w:hint="eastAsia" w:ascii="宋体" w:hAnsi="宋体"/>
                <w:szCs w:val="21"/>
              </w:rPr>
              <w:t>能力</w:t>
            </w:r>
          </w:p>
        </w:tc>
        <w:tc>
          <w:tcPr>
            <w:tcW w:w="650"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eastAsia="宋体"/>
                <w:szCs w:val="21"/>
                <w:lang w:val="en-US" w:eastAsia="zh-CN"/>
              </w:rPr>
            </w:pPr>
            <w:r>
              <w:rPr>
                <w:rFonts w:hint="eastAsia" w:ascii="宋体"/>
                <w:szCs w:val="21"/>
                <w:lang w:val="en-US" w:eastAsia="zh-CN"/>
              </w:rPr>
              <w:t>16</w:t>
            </w:r>
          </w:p>
        </w:tc>
        <w:tc>
          <w:tcPr>
            <w:tcW w:w="6153" w:type="dxa"/>
            <w:tcBorders>
              <w:top w:val="single" w:color="auto" w:sz="4" w:space="0"/>
              <w:left w:val="single" w:color="auto" w:sz="4" w:space="0"/>
              <w:bottom w:val="nil"/>
              <w:right w:val="single" w:color="auto" w:sz="4" w:space="0"/>
            </w:tcBorders>
            <w:vAlign w:val="center"/>
          </w:tcPr>
          <w:p>
            <w:pPr>
              <w:widowControl/>
              <w:numPr>
                <w:ilvl w:val="0"/>
                <w:numId w:val="0"/>
              </w:numPr>
              <w:rPr>
                <w:rFonts w:hint="eastAsia" w:ascii="宋体" w:hAnsi="宋体"/>
                <w:szCs w:val="21"/>
              </w:rPr>
            </w:pPr>
            <w:r>
              <w:rPr>
                <w:rFonts w:hint="eastAsia" w:ascii="宋体" w:hAnsi="宋体"/>
                <w:szCs w:val="21"/>
                <w:lang w:val="en-US" w:eastAsia="zh-CN"/>
              </w:rPr>
              <w:t>1.</w:t>
            </w:r>
            <w:r>
              <w:rPr>
                <w:rFonts w:hint="eastAsia" w:ascii="宋体" w:hAnsi="宋体"/>
                <w:szCs w:val="21"/>
              </w:rPr>
              <w:t>根据所投产品生产商取得密码相关的发明专利数量得分，专利名称中包含“加密</w:t>
            </w:r>
            <w:r>
              <w:rPr>
                <w:rFonts w:hint="eastAsia" w:ascii="宋体" w:hAnsi="宋体"/>
                <w:szCs w:val="21"/>
                <w:lang w:eastAsia="zh-CN"/>
              </w:rPr>
              <w:t>、</w:t>
            </w:r>
            <w:r>
              <w:rPr>
                <w:rFonts w:hint="eastAsia" w:ascii="宋体" w:hAnsi="宋体"/>
                <w:szCs w:val="21"/>
              </w:rPr>
              <w:t>解密”关键字，每提供一个得</w:t>
            </w:r>
            <w:r>
              <w:rPr>
                <w:rFonts w:hint="eastAsia" w:ascii="宋体" w:hAnsi="宋体"/>
                <w:szCs w:val="21"/>
                <w:lang w:val="en-US" w:eastAsia="zh-CN"/>
              </w:rPr>
              <w:t>2</w:t>
            </w:r>
            <w:r>
              <w:rPr>
                <w:rFonts w:hint="eastAsia" w:ascii="宋体" w:hAnsi="宋体"/>
                <w:szCs w:val="21"/>
              </w:rPr>
              <w:t>分。最多得</w:t>
            </w:r>
            <w:r>
              <w:rPr>
                <w:rFonts w:hint="eastAsia" w:ascii="宋体" w:hAnsi="宋体"/>
                <w:szCs w:val="21"/>
                <w:lang w:val="en-US" w:eastAsia="zh-CN"/>
              </w:rPr>
              <w:t>10</w:t>
            </w:r>
            <w:r>
              <w:rPr>
                <w:rFonts w:hint="eastAsia" w:ascii="宋体" w:hAnsi="宋体"/>
                <w:szCs w:val="21"/>
              </w:rPr>
              <w:t>分。</w:t>
            </w:r>
          </w:p>
          <w:p>
            <w:pPr>
              <w:widowControl/>
              <w:numPr>
                <w:ilvl w:val="0"/>
                <w:numId w:val="0"/>
              </w:numPr>
              <w:jc w:val="left"/>
              <w:rPr>
                <w:rFonts w:hint="eastAsia" w:ascii="宋体" w:hAnsi="宋体"/>
                <w:szCs w:val="21"/>
              </w:rPr>
            </w:pPr>
            <w:r>
              <w:rPr>
                <w:rFonts w:hint="eastAsia" w:ascii="宋体" w:hAnsi="宋体"/>
                <w:szCs w:val="21"/>
                <w:lang w:val="en-US" w:eastAsia="zh-CN"/>
              </w:rPr>
              <w:t>2.</w:t>
            </w:r>
            <w:r>
              <w:rPr>
                <w:rFonts w:hint="eastAsia" w:ascii="宋体" w:hAnsi="宋体"/>
                <w:szCs w:val="21"/>
              </w:rPr>
              <w:t>所投产品厂商具备TSM可信研发运营安全能力成熟度等级评估</w:t>
            </w:r>
            <w:r>
              <w:rPr>
                <w:rFonts w:hint="eastAsia" w:ascii="宋体" w:hAnsi="宋体"/>
                <w:szCs w:val="21"/>
                <w:lang w:val="en-US" w:eastAsia="zh-CN"/>
              </w:rPr>
              <w:t>增强级</w:t>
            </w:r>
            <w:r>
              <w:rPr>
                <w:rFonts w:hint="eastAsia" w:ascii="宋体" w:hAnsi="宋体"/>
                <w:szCs w:val="21"/>
              </w:rPr>
              <w:t>证书</w:t>
            </w:r>
            <w:r>
              <w:rPr>
                <w:rFonts w:hint="eastAsia" w:ascii="宋体" w:hAnsi="宋体"/>
                <w:szCs w:val="21"/>
                <w:lang w:eastAsia="zh-CN"/>
              </w:rPr>
              <w:t>，</w:t>
            </w:r>
            <w:r>
              <w:rPr>
                <w:rFonts w:hint="eastAsia" w:ascii="宋体" w:hAnsi="宋体"/>
                <w:szCs w:val="21"/>
              </w:rPr>
              <w:t>得</w:t>
            </w:r>
            <w:r>
              <w:rPr>
                <w:rFonts w:hint="eastAsia" w:ascii="宋体" w:hAnsi="宋体"/>
                <w:szCs w:val="21"/>
                <w:lang w:val="en-US" w:eastAsia="zh-CN"/>
              </w:rPr>
              <w:t>3</w:t>
            </w:r>
            <w:r>
              <w:rPr>
                <w:rFonts w:hint="eastAsia" w:ascii="宋体" w:hAnsi="宋体"/>
                <w:szCs w:val="21"/>
              </w:rPr>
              <w:t>分</w:t>
            </w:r>
            <w:r>
              <w:rPr>
                <w:rFonts w:hint="eastAsia" w:ascii="宋体" w:hAnsi="宋体"/>
                <w:szCs w:val="21"/>
                <w:lang w:eastAsia="zh-CN"/>
              </w:rPr>
              <w:t>。</w:t>
            </w:r>
          </w:p>
          <w:p>
            <w:pPr>
              <w:tabs>
                <w:tab w:val="left" w:pos="7854"/>
              </w:tabs>
              <w:spacing w:line="280" w:lineRule="exact"/>
            </w:pPr>
            <w:r>
              <w:rPr>
                <w:rFonts w:hint="eastAsia" w:ascii="宋体" w:hAnsi="宋体"/>
                <w:szCs w:val="21"/>
                <w:lang w:val="en-US" w:eastAsia="zh-CN"/>
              </w:rPr>
              <w:t>3.</w:t>
            </w:r>
            <w:r>
              <w:rPr>
                <w:rFonts w:hint="eastAsia" w:ascii="宋体" w:hAnsi="宋体"/>
                <w:szCs w:val="21"/>
              </w:rPr>
              <w:t>所投产品厂商具备CMMI-Level5</w:t>
            </w:r>
            <w:r>
              <w:rPr>
                <w:rFonts w:hint="eastAsia" w:ascii="宋体" w:hAnsi="宋体"/>
                <w:szCs w:val="21"/>
                <w:lang w:val="en-US" w:eastAsia="zh-CN"/>
              </w:rPr>
              <w:t>认证证书</w:t>
            </w:r>
            <w:r>
              <w:rPr>
                <w:rFonts w:hint="eastAsia" w:ascii="宋体" w:hAnsi="宋体"/>
                <w:szCs w:val="21"/>
                <w:lang w:eastAsia="zh-CN"/>
              </w:rPr>
              <w:t>，</w:t>
            </w:r>
            <w:r>
              <w:rPr>
                <w:rFonts w:hint="eastAsia" w:ascii="宋体" w:hAnsi="宋体"/>
                <w:szCs w:val="21"/>
              </w:rPr>
              <w:t>得</w:t>
            </w:r>
            <w:r>
              <w:rPr>
                <w:rFonts w:hint="eastAsia" w:ascii="宋体" w:hAnsi="宋体"/>
                <w:szCs w:val="21"/>
                <w:lang w:val="en-US" w:eastAsia="zh-CN"/>
              </w:rPr>
              <w:t>3</w:t>
            </w:r>
            <w:r>
              <w:rPr>
                <w:rFonts w:hint="eastAsia" w:ascii="宋体" w:hAnsi="宋体"/>
                <w:szCs w:val="21"/>
              </w:rPr>
              <w:t>分</w:t>
            </w:r>
            <w:r>
              <w:rPr>
                <w:rFonts w:hint="eastAsia" w:ascii="宋体" w:hAnsi="宋体"/>
                <w:szCs w:val="21"/>
                <w:lang w:eastAsia="zh-CN"/>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ascii="宋体"/>
                <w:szCs w:val="21"/>
              </w:rPr>
            </w:pPr>
            <w:r>
              <w:rPr>
                <w:rFonts w:hint="eastAsia" w:ascii="宋体" w:hAnsi="宋体" w:cs="宋体"/>
                <w:color w:val="000000"/>
                <w:kern w:val="0"/>
                <w:szCs w:val="21"/>
              </w:rPr>
              <w:t>参数</w:t>
            </w:r>
            <w:r>
              <w:rPr>
                <w:rFonts w:hint="eastAsia" w:ascii="宋体" w:hAnsi="宋体" w:cs="宋体"/>
                <w:color w:val="000000"/>
                <w:kern w:val="0"/>
                <w:szCs w:val="21"/>
                <w:lang w:val="zh-CN"/>
              </w:rPr>
              <w:t>要求</w:t>
            </w:r>
          </w:p>
        </w:tc>
        <w:tc>
          <w:tcPr>
            <w:tcW w:w="650" w:type="dxa"/>
            <w:tcBorders>
              <w:top w:val="single" w:color="auto" w:sz="4" w:space="0"/>
              <w:left w:val="single" w:color="auto" w:sz="4" w:space="0"/>
              <w:bottom w:val="nil"/>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50</w:t>
            </w:r>
          </w:p>
        </w:tc>
        <w:tc>
          <w:tcPr>
            <w:tcW w:w="6153" w:type="dxa"/>
            <w:tcBorders>
              <w:top w:val="single" w:color="auto" w:sz="4" w:space="0"/>
              <w:left w:val="single" w:color="auto" w:sz="4" w:space="0"/>
              <w:bottom w:val="nil"/>
              <w:right w:val="single" w:color="auto" w:sz="4" w:space="0"/>
            </w:tcBorders>
            <w:vAlign w:val="center"/>
          </w:tcPr>
          <w:p>
            <w:pPr>
              <w:tabs>
                <w:tab w:val="left" w:pos="7854"/>
              </w:tabs>
              <w:spacing w:line="280" w:lineRule="exact"/>
            </w:pPr>
            <w:r>
              <w:rPr>
                <w:rFonts w:hint="eastAsia" w:ascii="宋体" w:hAnsi="宋体"/>
                <w:szCs w:val="21"/>
              </w:rPr>
              <w:t>对技术协议书中产品指标（包括</w:t>
            </w:r>
            <w:r>
              <w:rPr>
                <w:rFonts w:hint="eastAsia" w:ascii="宋体" w:hAnsi="宋体"/>
                <w:szCs w:val="21"/>
                <w:lang w:val="en-US" w:eastAsia="zh-CN"/>
              </w:rPr>
              <w:t>产品彩页</w:t>
            </w:r>
            <w:r>
              <w:rPr>
                <w:rFonts w:hint="eastAsia" w:ascii="宋体" w:hAnsi="宋体"/>
                <w:szCs w:val="21"/>
              </w:rPr>
              <w:t>，功能截图，产品资质证书）进行评价：完全满足采购要求得</w:t>
            </w:r>
            <w:r>
              <w:rPr>
                <w:rFonts w:hint="eastAsia" w:ascii="宋体" w:hAnsi="宋体"/>
                <w:szCs w:val="21"/>
                <w:lang w:val="en-US" w:eastAsia="zh-CN"/>
              </w:rPr>
              <w:t>50</w:t>
            </w:r>
            <w:r>
              <w:rPr>
                <w:rFonts w:hint="eastAsia" w:ascii="宋体" w:hAnsi="宋体"/>
                <w:szCs w:val="21"/>
              </w:rPr>
              <w:t>分，每存在一条负偏离扣</w:t>
            </w:r>
            <w:r>
              <w:rPr>
                <w:rFonts w:hint="eastAsia" w:ascii="宋体" w:hAnsi="宋体"/>
                <w:szCs w:val="21"/>
                <w:lang w:val="en-US" w:eastAsia="zh-CN"/>
              </w:rPr>
              <w:t>5</w:t>
            </w:r>
            <w:r>
              <w:rPr>
                <w:rFonts w:hint="eastAsia" w:ascii="宋体" w:hAnsi="宋体"/>
                <w:szCs w:val="21"/>
              </w:rPr>
              <w:t>分，扣完为止。技术指标</w:t>
            </w:r>
            <w:r>
              <w:rPr>
                <w:rFonts w:hint="eastAsia" w:ascii="宋体" w:hAnsi="宋体"/>
                <w:szCs w:val="21"/>
                <w:lang w:val="en-US" w:eastAsia="zh-CN"/>
              </w:rPr>
              <w:t>需提供点对点应答，并提供产品彩页、功能截图、产品资质证书证明材料</w:t>
            </w:r>
            <w:r>
              <w:rPr>
                <w:rFonts w:hint="eastAsia" w:ascii="宋体" w:hAnsi="宋体"/>
                <w:szCs w:val="21"/>
              </w:rPr>
              <w:t>，不提供或提供材料不符的视为不满足。</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widowControl/>
              <w:spacing w:line="360" w:lineRule="auto"/>
              <w:jc w:val="center"/>
            </w:pPr>
            <w:r>
              <w:rPr>
                <w:rFonts w:hint="eastAsia" w:ascii="宋体" w:hAnsi="宋体" w:cs="宋体"/>
                <w:color w:val="000000"/>
                <w:kern w:val="0"/>
                <w:szCs w:val="21"/>
                <w:lang w:val="en-US" w:eastAsia="zh-CN"/>
              </w:rPr>
              <w:t>实施方案</w:t>
            </w:r>
          </w:p>
        </w:tc>
        <w:tc>
          <w:tcPr>
            <w:tcW w:w="650" w:type="dxa"/>
            <w:tcBorders>
              <w:top w:val="single" w:color="auto" w:sz="4" w:space="0"/>
              <w:left w:val="single" w:color="auto" w:sz="4" w:space="0"/>
              <w:bottom w:val="nil"/>
              <w:right w:val="single" w:color="auto" w:sz="4" w:space="0"/>
            </w:tcBorders>
            <w:vAlign w:val="center"/>
          </w:tcPr>
          <w:p>
            <w:pPr>
              <w:jc w:val="center"/>
              <w:rPr>
                <w:rFonts w:hint="default" w:eastAsia="宋体"/>
                <w:lang w:val="en-US" w:eastAsia="zh-CN"/>
              </w:rPr>
            </w:pPr>
            <w:r>
              <w:rPr>
                <w:rFonts w:hint="eastAsia"/>
                <w:lang w:val="en-US" w:eastAsia="zh-CN"/>
              </w:rPr>
              <w:t>10</w:t>
            </w:r>
          </w:p>
        </w:tc>
        <w:tc>
          <w:tcPr>
            <w:tcW w:w="6153" w:type="dxa"/>
            <w:tcBorders>
              <w:top w:val="single" w:color="auto" w:sz="4" w:space="0"/>
              <w:left w:val="single" w:color="auto" w:sz="4" w:space="0"/>
              <w:bottom w:val="nil"/>
              <w:right w:val="single" w:color="auto" w:sz="4" w:space="0"/>
            </w:tcBorders>
            <w:vAlign w:val="center"/>
          </w:tcPr>
          <w:p>
            <w:pPr>
              <w:widowControl/>
              <w:rPr>
                <w:rFonts w:hint="eastAsia" w:ascii="宋体" w:hAnsi="宋体"/>
                <w:szCs w:val="21"/>
              </w:rPr>
            </w:pPr>
            <w:r>
              <w:rPr>
                <w:rFonts w:hint="eastAsia" w:ascii="宋体" w:hAnsi="宋体"/>
                <w:szCs w:val="21"/>
              </w:rPr>
              <w:t>根据供应商提供的实施方案综合评审，方案编制规范、内容全面、措施合理；施工计划安排科学、实施阶段划分合理。方案较优得</w:t>
            </w:r>
            <w:r>
              <w:rPr>
                <w:rFonts w:hint="eastAsia" w:ascii="宋体" w:hAnsi="宋体"/>
                <w:szCs w:val="21"/>
                <w:lang w:val="en-US" w:eastAsia="zh-CN"/>
              </w:rPr>
              <w:t>8</w:t>
            </w:r>
            <w:r>
              <w:rPr>
                <w:rFonts w:hint="eastAsia" w:ascii="宋体" w:hAnsi="宋体"/>
                <w:szCs w:val="21"/>
              </w:rPr>
              <w:t>-</w:t>
            </w:r>
            <w:r>
              <w:rPr>
                <w:rFonts w:hint="eastAsia" w:ascii="宋体" w:hAnsi="宋体"/>
                <w:szCs w:val="21"/>
                <w:lang w:val="en-US" w:eastAsia="zh-CN"/>
              </w:rPr>
              <w:t>1</w:t>
            </w:r>
            <w:r>
              <w:rPr>
                <w:rFonts w:hint="eastAsia" w:ascii="宋体" w:hAnsi="宋体"/>
                <w:szCs w:val="21"/>
              </w:rPr>
              <w:t>0分；方案满足要求得</w:t>
            </w:r>
            <w:r>
              <w:rPr>
                <w:rFonts w:hint="eastAsia" w:ascii="宋体" w:hAnsi="宋体"/>
                <w:szCs w:val="21"/>
                <w:lang w:val="en-US" w:eastAsia="zh-CN"/>
              </w:rPr>
              <w:t>4</w:t>
            </w:r>
            <w:r>
              <w:rPr>
                <w:rFonts w:hint="eastAsia" w:ascii="宋体" w:hAnsi="宋体"/>
                <w:szCs w:val="21"/>
              </w:rPr>
              <w:t>-</w:t>
            </w:r>
            <w:r>
              <w:rPr>
                <w:rFonts w:hint="eastAsia" w:ascii="宋体" w:hAnsi="宋体"/>
                <w:szCs w:val="21"/>
                <w:lang w:val="en-US" w:eastAsia="zh-CN"/>
              </w:rPr>
              <w:t>7</w:t>
            </w:r>
            <w:r>
              <w:rPr>
                <w:rFonts w:hint="eastAsia" w:ascii="宋体" w:hAnsi="宋体"/>
                <w:szCs w:val="21"/>
              </w:rPr>
              <w:t>分；方案较差0-</w:t>
            </w:r>
            <w:r>
              <w:rPr>
                <w:rFonts w:hint="eastAsia" w:ascii="宋体" w:hAnsi="宋体"/>
                <w:szCs w:val="21"/>
                <w:lang w:val="en-US" w:eastAsia="zh-CN"/>
              </w:rPr>
              <w:t>3</w:t>
            </w:r>
            <w:r>
              <w:rPr>
                <w:rFonts w:hint="eastAsia" w:ascii="宋体" w:hAnsi="宋体"/>
                <w:szCs w:val="21"/>
              </w:rPr>
              <w:t>分。</w:t>
            </w:r>
          </w:p>
          <w:p>
            <w:pPr>
              <w:pStyle w:val="147"/>
            </w:pPr>
            <w:r>
              <w:rPr>
                <w:rFonts w:hint="eastAsia" w:ascii="宋体" w:hAnsi="宋体"/>
                <w:szCs w:val="21"/>
              </w:rPr>
              <w:t>注：供应商应制订详细的实施工作计划，项目实施方案包括实施阶段的划分，各阶段实施目标和评估时间表和完整的软硬件设备到货、验收、策略部署与测试、验收方案等内容。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60" w:lineRule="auto"/>
              <w:jc w:val="center"/>
              <w:rPr>
                <w:rFonts w:hint="eastAsia" w:ascii="Times New Roman" w:hAnsi="Times New Roman" w:eastAsia="宋体" w:cs="Times New Roman"/>
                <w:kern w:val="2"/>
                <w:sz w:val="21"/>
                <w:lang w:val="en-US" w:eastAsia="zh-CN" w:bidi="ar-SA"/>
              </w:rPr>
            </w:pPr>
            <w:r>
              <w:rPr>
                <w:rFonts w:hint="eastAsia" w:ascii="宋体" w:hAnsi="宋体" w:cs="宋体"/>
                <w:color w:val="000000"/>
                <w:kern w:val="0"/>
                <w:szCs w:val="21"/>
                <w:lang w:val="en-US" w:eastAsia="zh-CN"/>
              </w:rPr>
              <w:t>培训方案</w:t>
            </w:r>
          </w:p>
        </w:tc>
        <w:tc>
          <w:tcPr>
            <w:tcW w:w="650" w:type="dxa"/>
            <w:tcBorders>
              <w:top w:val="single" w:color="auto" w:sz="4" w:space="0"/>
              <w:left w:val="single" w:color="auto" w:sz="4" w:space="0"/>
              <w:bottom w:val="nil"/>
              <w:right w:val="single" w:color="auto" w:sz="4" w:space="0"/>
            </w:tcBorders>
            <w:shd w:val="clear" w:color="auto" w:fill="auto"/>
            <w:vAlign w:val="center"/>
          </w:tcPr>
          <w:p>
            <w:pPr>
              <w:jc w:val="center"/>
              <w:rPr>
                <w:rFonts w:hint="eastAsia" w:ascii="宋体" w:hAnsi="Times New Roman" w:eastAsia="宋体" w:cs="Times New Roman"/>
                <w:kern w:val="2"/>
                <w:sz w:val="21"/>
                <w:lang w:val="en-US" w:eastAsia="zh-CN" w:bidi="ar-SA"/>
              </w:rPr>
            </w:pPr>
            <w:r>
              <w:rPr>
                <w:rFonts w:hint="eastAsia" w:ascii="宋体"/>
                <w:lang w:val="en-US" w:eastAsia="zh-CN"/>
              </w:rPr>
              <w:t>4</w:t>
            </w:r>
          </w:p>
        </w:tc>
        <w:tc>
          <w:tcPr>
            <w:tcW w:w="6153" w:type="dxa"/>
            <w:tcBorders>
              <w:top w:val="single" w:color="auto" w:sz="4" w:space="0"/>
              <w:left w:val="single" w:color="auto" w:sz="4" w:space="0"/>
              <w:bottom w:val="nil"/>
              <w:right w:val="single" w:color="auto" w:sz="4" w:space="0"/>
            </w:tcBorders>
            <w:shd w:val="clear" w:color="auto" w:fill="auto"/>
            <w:vAlign w:val="center"/>
          </w:tcPr>
          <w:p>
            <w:pPr>
              <w:pStyle w:val="147"/>
              <w:rPr>
                <w:rFonts w:hint="eastAsia" w:ascii="宋体" w:hAnsi="宋体" w:eastAsia="宋体" w:cs="Times New Roman"/>
                <w:kern w:val="2"/>
                <w:sz w:val="21"/>
                <w:szCs w:val="30"/>
                <w:lang w:val="en-US" w:eastAsia="zh-CN" w:bidi="ar-SA"/>
              </w:rPr>
            </w:pPr>
            <w:r>
              <w:rPr>
                <w:rFonts w:hint="eastAsia" w:ascii="宋体" w:hAnsi="宋体"/>
                <w:szCs w:val="21"/>
              </w:rPr>
              <w:t>承诺提供专业的</w:t>
            </w:r>
            <w:r>
              <w:rPr>
                <w:rFonts w:hint="eastAsia"/>
                <w:szCs w:val="21"/>
                <w:lang w:val="en-US" w:eastAsia="zh-CN"/>
              </w:rPr>
              <w:t>设备使用</w:t>
            </w:r>
            <w:r>
              <w:rPr>
                <w:rFonts w:hint="eastAsia" w:ascii="宋体" w:hAnsi="宋体"/>
                <w:szCs w:val="21"/>
              </w:rPr>
              <w:t>相关培训，需说明培训形式、时间、人数。根据培训</w:t>
            </w:r>
            <w:r>
              <w:rPr>
                <w:rFonts w:hint="eastAsia"/>
                <w:szCs w:val="21"/>
                <w:lang w:val="en-US" w:eastAsia="zh-CN"/>
              </w:rPr>
              <w:t>次数，</w:t>
            </w:r>
            <w:r>
              <w:rPr>
                <w:rFonts w:hint="eastAsia" w:ascii="宋体" w:hAnsi="宋体"/>
                <w:szCs w:val="21"/>
              </w:rPr>
              <w:t>每</w:t>
            </w:r>
            <w:r>
              <w:rPr>
                <w:rFonts w:hint="eastAsia"/>
                <w:szCs w:val="21"/>
                <w:lang w:val="en-US" w:eastAsia="zh-CN"/>
              </w:rPr>
              <w:t>提供一次培训得2分</w:t>
            </w:r>
            <w:r>
              <w:rPr>
                <w:rFonts w:hint="eastAsia" w:ascii="宋体" w:hAnsi="宋体"/>
                <w:szCs w:val="21"/>
              </w:rPr>
              <w:t>，最高4分。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60" w:lineRule="auto"/>
              <w:jc w:val="center"/>
              <w:rPr>
                <w:rFonts w:hint="default" w:ascii="宋体" w:hAnsi="宋体" w:eastAsia="宋体" w:cs="宋体"/>
                <w:color w:val="000000"/>
                <w:kern w:val="0"/>
                <w:sz w:val="21"/>
                <w:szCs w:val="21"/>
                <w:lang w:val="en-US" w:eastAsia="zh-CN" w:bidi="ar-SA"/>
              </w:rPr>
            </w:pPr>
            <w:r>
              <w:rPr>
                <w:rFonts w:hint="eastAsia" w:ascii="宋体" w:hAnsi="宋体" w:cs="宋体"/>
                <w:color w:val="000000"/>
                <w:kern w:val="0"/>
                <w:szCs w:val="21"/>
                <w:lang w:val="en-US" w:eastAsia="zh-CN"/>
              </w:rPr>
              <w:t>服务团队</w:t>
            </w:r>
          </w:p>
        </w:tc>
        <w:tc>
          <w:tcPr>
            <w:tcW w:w="650" w:type="dxa"/>
            <w:tcBorders>
              <w:top w:val="single" w:color="auto" w:sz="4" w:space="0"/>
              <w:left w:val="single" w:color="auto" w:sz="4" w:space="0"/>
              <w:bottom w:val="nil"/>
              <w:right w:val="single" w:color="auto" w:sz="4" w:space="0"/>
            </w:tcBorders>
            <w:shd w:val="clear" w:color="auto" w:fill="auto"/>
            <w:vAlign w:val="center"/>
          </w:tcPr>
          <w:p>
            <w:pPr>
              <w:jc w:val="center"/>
              <w:rPr>
                <w:rFonts w:hint="default" w:ascii="宋体" w:hAnsi="Times New Roman" w:eastAsia="宋体" w:cs="Times New Roman"/>
                <w:kern w:val="2"/>
                <w:sz w:val="21"/>
                <w:lang w:val="en-US" w:eastAsia="zh-CN" w:bidi="ar-SA"/>
              </w:rPr>
            </w:pPr>
            <w:r>
              <w:rPr>
                <w:rFonts w:hint="eastAsia" w:ascii="宋体"/>
                <w:lang w:val="en-US" w:eastAsia="zh-CN"/>
              </w:rPr>
              <w:t>6</w:t>
            </w:r>
          </w:p>
        </w:tc>
        <w:tc>
          <w:tcPr>
            <w:tcW w:w="6153" w:type="dxa"/>
            <w:tcBorders>
              <w:top w:val="single" w:color="auto" w:sz="4" w:space="0"/>
              <w:left w:val="single" w:color="auto" w:sz="4" w:space="0"/>
              <w:bottom w:val="nil"/>
              <w:right w:val="single" w:color="auto" w:sz="4" w:space="0"/>
            </w:tcBorders>
            <w:shd w:val="clear" w:color="auto" w:fill="auto"/>
            <w:vAlign w:val="center"/>
          </w:tcPr>
          <w:p>
            <w:pPr>
              <w:pStyle w:val="147"/>
              <w:rPr>
                <w:rFonts w:ascii="宋体" w:hAnsi="宋体" w:eastAsia="宋体" w:cs="Times New Roman"/>
                <w:kern w:val="2"/>
                <w:sz w:val="21"/>
                <w:szCs w:val="30"/>
                <w:lang w:val="en-US" w:eastAsia="zh-CN" w:bidi="ar-SA"/>
              </w:rPr>
            </w:pPr>
            <w:r>
              <w:rPr>
                <w:rFonts w:hint="eastAsia" w:ascii="宋体" w:hAnsi="宋体"/>
                <w:szCs w:val="21"/>
              </w:rPr>
              <w:t>根据供应商提供的项目实施团队，服务和响应支持能力、数量、管理措施及山东区域人员服务和支持能力等情况进行打分，服务及支持能力较优得5-6分；满足基本要求得3-4分；支持能力较差的0-2分。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rPr>
            </w:pPr>
            <w:r>
              <w:rPr>
                <w:rFonts w:hint="eastAsia" w:ascii="宋体" w:hAnsi="宋体"/>
              </w:rPr>
              <w:t>备注：</w:t>
            </w:r>
          </w:p>
          <w:p>
            <w:pPr>
              <w:rPr>
                <w:rFonts w:ascii="宋体"/>
              </w:rPr>
            </w:pPr>
            <w:r>
              <w:rPr>
                <w:rFonts w:hint="eastAsia" w:ascii="宋体" w:hAnsi="宋体"/>
              </w:rPr>
              <w:t>1、通过初审者为有效投标。</w:t>
            </w:r>
          </w:p>
          <w:p>
            <w:pPr>
              <w:rPr>
                <w:rFonts w:hint="eastAsia" w:ascii="宋体" w:hAnsi="宋体"/>
              </w:rPr>
            </w:pPr>
            <w:r>
              <w:rPr>
                <w:rFonts w:hint="eastAsia" w:ascii="宋体" w:hAnsi="宋体"/>
                <w:lang w:val="en-US" w:eastAsia="zh-CN"/>
              </w:rPr>
              <w:t>2</w:t>
            </w:r>
            <w:r>
              <w:rPr>
                <w:rFonts w:hint="eastAsia" w:ascii="宋体" w:hAnsi="宋体"/>
              </w:rPr>
              <w:t>、评委打分超过得分界限或未按本方法赋分时，该评委的打分按废票处理。</w:t>
            </w:r>
          </w:p>
          <w:p>
            <w:pPr>
              <w:rPr>
                <w:rFonts w:ascii="宋体"/>
                <w:szCs w:val="21"/>
              </w:rPr>
            </w:pPr>
            <w:r>
              <w:rPr>
                <w:rFonts w:hint="eastAsia" w:ascii="宋体" w:hAnsi="宋体"/>
                <w:lang w:val="en-US" w:eastAsia="zh-CN"/>
              </w:rPr>
              <w:t>3</w:t>
            </w: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pPr>
        <w:keepNext/>
        <w:keepLines/>
        <w:spacing w:before="156" w:beforeLines="50" w:after="156" w:afterLines="50" w:line="360" w:lineRule="auto"/>
        <w:jc w:val="left"/>
        <w:outlineLvl w:val="2"/>
        <w:rPr>
          <w:rFonts w:hint="eastAsia" w:ascii="宋体" w:hAnsi="宋体" w:eastAsia="宋体" w:cs="Times New Roman"/>
          <w:b/>
          <w:bCs/>
          <w:sz w:val="24"/>
          <w:szCs w:val="24"/>
        </w:rPr>
      </w:pPr>
    </w:p>
    <w:p>
      <w:pPr>
        <w:keepNext/>
        <w:keepLines/>
        <w:spacing w:before="156" w:beforeLines="50" w:after="156" w:afterLines="50" w:line="360" w:lineRule="auto"/>
        <w:jc w:val="left"/>
        <w:outlineLvl w:val="2"/>
        <w:rPr>
          <w:rFonts w:hint="eastAsia" w:ascii="宋体" w:hAnsi="宋体" w:eastAsia="宋体" w:cs="Times New Roman"/>
          <w:b/>
          <w:bCs/>
          <w:sz w:val="24"/>
          <w:szCs w:val="24"/>
        </w:rPr>
      </w:pPr>
    </w:p>
    <w:p>
      <w:pPr>
        <w:pStyle w:val="20"/>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pPr>
        <w:rPr>
          <w:rFonts w:hint="eastAsia" w:ascii="宋体" w:hAnsi="宋体" w:eastAsia="宋体" w:cs="宋体"/>
          <w:color w:val="000000"/>
        </w:rPr>
      </w:pPr>
    </w:p>
    <w:p>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8"/>
                    <a:stretch>
                      <a:fillRect/>
                    </a:stretch>
                  </pic:blipFill>
                  <pic:spPr>
                    <a:xfrm>
                      <a:off x="0" y="0"/>
                      <a:ext cx="5760085" cy="2810122"/>
                    </a:xfrm>
                    <a:prstGeom prst="rect">
                      <a:avLst/>
                    </a:prstGeom>
                  </pic:spPr>
                </pic:pic>
              </a:graphicData>
            </a:graphic>
          </wp:inline>
        </w:drawing>
      </w:r>
    </w:p>
    <w:p>
      <w:pPr>
        <w:pStyle w:val="20"/>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9"/>
                    <a:stretch>
                      <a:fillRect/>
                    </a:stretch>
                  </pic:blipFill>
                  <pic:spPr>
                    <a:xfrm>
                      <a:off x="0" y="0"/>
                      <a:ext cx="5760085" cy="2820042"/>
                    </a:xfrm>
                    <a:prstGeom prst="rect">
                      <a:avLst/>
                    </a:prstGeom>
                  </pic:spPr>
                </pic:pic>
              </a:graphicData>
            </a:graphic>
          </wp:inline>
        </w:drawing>
      </w:r>
    </w:p>
    <w:p>
      <w:pPr>
        <w:pStyle w:val="20"/>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0"/>
      </w:pPr>
      <w:r>
        <w:rPr>
          <w:rFonts w:hint="eastAsia" w:hAnsi="宋体" w:eastAsia="宋体" w:cs="宋体"/>
          <w:b/>
          <w:bCs/>
          <w:color w:val="000000"/>
          <w:sz w:val="24"/>
          <w:szCs w:val="28"/>
          <w:highlight w:val="yellow"/>
        </w:rPr>
        <w:t>2.配套能力“供货类别”选“非生产招标→研发试验设备→产品试验检测中心”，业务主管部门为“产品试验检测中心”。</w:t>
      </w:r>
    </w:p>
    <w:p>
      <w:pPr>
        <w:pStyle w:val="20"/>
        <w:sectPr>
          <w:footerReference r:id="rId28" w:type="default"/>
          <w:pgSz w:w="11906" w:h="16838"/>
          <w:pgMar w:top="1588" w:right="1418" w:bottom="1134" w:left="1418" w:header="851" w:footer="992" w:gutter="0"/>
          <w:cols w:space="720" w:num="1"/>
          <w:titlePg/>
          <w:docGrid w:type="lines" w:linePitch="312" w:charSpace="0"/>
        </w:sectPr>
      </w:pPr>
    </w:p>
    <w:p>
      <w:pPr>
        <w:pStyle w:val="20"/>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7"/>
          <w:rFonts w:hint="eastAsia" w:ascii="宋体" w:hAnsi="宋体" w:eastAsia="宋体" w:cs="宋体"/>
          <w:sz w:val="24"/>
          <w:szCs w:val="24"/>
        </w:rPr>
        <w:t>https://ecaitong.sinotruk.com:8012/</w:t>
      </w:r>
      <w:r>
        <w:rPr>
          <w:rStyle w:val="47"/>
          <w:rFonts w:hint="eastAsia" w:ascii="宋体" w:hAnsi="宋体" w:eastAsia="宋体" w:cs="宋体"/>
          <w:sz w:val="24"/>
          <w:szCs w:val="24"/>
        </w:rPr>
        <w:fldChar w:fldCharType="end"/>
      </w:r>
      <w:r>
        <w:rPr>
          <w:rStyle w:val="47"/>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rPr>
      </w:pPr>
      <w:r>
        <mc:AlternateContent>
          <mc:Choice Requires="wps">
            <w:drawing>
              <wp:anchor distT="0" distB="0" distL="114300" distR="114300" simplePos="0" relativeHeight="25167769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769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0"/>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1"/>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2"/>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0"/>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3"/>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4"/>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5"/>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6"/>
                    <a:stretch>
                      <a:fillRect/>
                    </a:stretch>
                  </pic:blipFill>
                  <pic:spPr>
                    <a:xfrm>
                      <a:off x="0" y="0"/>
                      <a:ext cx="5760085" cy="1956600"/>
                    </a:xfrm>
                    <a:prstGeom prst="rect">
                      <a:avLst/>
                    </a:prstGeom>
                  </pic:spPr>
                </pic:pic>
              </a:graphicData>
            </a:graphic>
          </wp:inline>
        </w:drawing>
      </w:r>
    </w:p>
    <w:p>
      <w:pPr>
        <w:rPr>
          <w:rFonts w:hint="eastAsia"/>
        </w:rPr>
      </w:pPr>
    </w:p>
    <w:p>
      <w:pPr>
        <w:rPr>
          <w:rFonts w:hint="eastAsia"/>
        </w:rPr>
      </w:pPr>
    </w:p>
    <w:p>
      <w:pPr>
        <w:rPr>
          <w:rFonts w:hint="eastAsia"/>
        </w:rPr>
      </w:pPr>
    </w:p>
    <w:sectPr>
      <w:headerReference r:id="rId30" w:type="first"/>
      <w:footerReference r:id="rId32" w:type="first"/>
      <w:headerReference r:id="rId29" w:type="default"/>
      <w:footerReference r:id="rId31"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tabs>
        <w:tab w:val="clear" w:pos="4153"/>
      </w:tabs>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5"/>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single" w:color="auto" w:sz="12" w:space="9"/>
      </w:pBdr>
      <w:ind w:firstLine="3960" w:firstLineChars="2200"/>
      <w:jc w:val="both"/>
    </w:pPr>
    <w:r>
      <w:rPr>
        <w:rFonts w:hint="eastAsia"/>
      </w:rPr>
      <w:t>HTPS加密流量检测设备建设</w:t>
    </w:r>
    <w:r>
      <w:rPr>
        <w:rFonts w:hint="eastAsia" w:ascii="Times New Roman" w:hAnsi="Times New Roman" w:eastAsia="宋体" w:cs="Times New Roman"/>
      </w:rPr>
      <w:t>项目</w:t>
    </w:r>
    <w:r>
      <w:rPr>
        <w:rFonts w:hint="eastAsia"/>
      </w:rPr>
      <w:t>招标书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p>
  <w:p>
    <w:pPr>
      <w:pStyle w:val="26"/>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1">
    <w:nsid w:val="96C7EE9C"/>
    <w:multiLevelType w:val="singleLevel"/>
    <w:tmpl w:val="96C7EE9C"/>
    <w:lvl w:ilvl="0" w:tentative="0">
      <w:start w:val="1"/>
      <w:numFmt w:val="decimal"/>
      <w:lvlText w:val="%1."/>
      <w:lvlJc w:val="left"/>
      <w:pPr>
        <w:tabs>
          <w:tab w:val="left" w:pos="312"/>
        </w:tabs>
      </w:p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025DE5D"/>
    <w:multiLevelType w:val="singleLevel"/>
    <w:tmpl w:val="A025DE5D"/>
    <w:lvl w:ilvl="0" w:tentative="0">
      <w:start w:val="1"/>
      <w:numFmt w:val="decimal"/>
      <w:lvlText w:val="(%1)"/>
      <w:lvlJc w:val="left"/>
      <w:pPr>
        <w:ind w:left="425" w:hanging="425"/>
      </w:pPr>
      <w:rPr>
        <w:rFonts w:hint="default"/>
      </w:rPr>
    </w:lvl>
  </w:abstractNum>
  <w:abstractNum w:abstractNumId="4">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5">
    <w:nsid w:val="CA70C5AE"/>
    <w:multiLevelType w:val="singleLevel"/>
    <w:tmpl w:val="CA70C5AE"/>
    <w:lvl w:ilvl="0" w:tentative="0">
      <w:start w:val="1"/>
      <w:numFmt w:val="decimal"/>
      <w:lvlText w:val="%1."/>
      <w:lvlJc w:val="left"/>
      <w:pPr>
        <w:ind w:left="425" w:hanging="425"/>
      </w:pPr>
      <w:rPr>
        <w:rFonts w:hint="default"/>
      </w:rPr>
    </w:lvl>
  </w:abstractNum>
  <w:abstractNum w:abstractNumId="6">
    <w:nsid w:val="D9A4530E"/>
    <w:multiLevelType w:val="singleLevel"/>
    <w:tmpl w:val="D9A4530E"/>
    <w:lvl w:ilvl="0" w:tentative="0">
      <w:start w:val="1"/>
      <w:numFmt w:val="decimal"/>
      <w:lvlText w:val="(%1)"/>
      <w:lvlJc w:val="left"/>
      <w:pPr>
        <w:ind w:left="425" w:hanging="425"/>
      </w:pPr>
      <w:rPr>
        <w:rFonts w:hint="default"/>
      </w:rPr>
    </w:lvl>
  </w:abstractNum>
  <w:abstractNum w:abstractNumId="7">
    <w:nsid w:val="DC3F8C8B"/>
    <w:multiLevelType w:val="singleLevel"/>
    <w:tmpl w:val="DC3F8C8B"/>
    <w:lvl w:ilvl="0" w:tentative="0">
      <w:start w:val="1"/>
      <w:numFmt w:val="decimal"/>
      <w:lvlText w:val="%1."/>
      <w:lvlJc w:val="left"/>
      <w:pPr>
        <w:ind w:left="425" w:hanging="425"/>
      </w:pPr>
      <w:rPr>
        <w:rFonts w:hint="default"/>
      </w:rPr>
    </w:lvl>
  </w:abstractNum>
  <w:abstractNum w:abstractNumId="8">
    <w:nsid w:val="E692BBD5"/>
    <w:multiLevelType w:val="singleLevel"/>
    <w:tmpl w:val="E692BBD5"/>
    <w:lvl w:ilvl="0" w:tentative="0">
      <w:start w:val="1"/>
      <w:numFmt w:val="lowerLetter"/>
      <w:lvlText w:val="%1)"/>
      <w:lvlJc w:val="left"/>
      <w:pPr>
        <w:tabs>
          <w:tab w:val="left" w:pos="-108"/>
        </w:tabs>
        <w:ind w:left="-420"/>
      </w:pPr>
    </w:lvl>
  </w:abstractNum>
  <w:abstractNum w:abstractNumId="9">
    <w:nsid w:val="EE3FD176"/>
    <w:multiLevelType w:val="singleLevel"/>
    <w:tmpl w:val="EE3FD176"/>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15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37115554"/>
    <w:multiLevelType w:val="multilevel"/>
    <w:tmpl w:val="37115554"/>
    <w:lvl w:ilvl="0" w:tentative="0">
      <w:start w:val="1"/>
      <w:numFmt w:val="decimal"/>
      <w:lvlText w:val="%1."/>
      <w:lvlJc w:val="left"/>
      <w:pPr>
        <w:ind w:left="425" w:hanging="425"/>
      </w:pPr>
      <w:rPr>
        <w:rFonts w:hint="eastAsia"/>
      </w:rPr>
    </w:lvl>
    <w:lvl w:ilvl="1" w:tentative="0">
      <w:start w:val="1"/>
      <w:numFmt w:val="decimal"/>
      <w:lvlText w:val="%1.%2."/>
      <w:lvlJc w:val="left"/>
      <w:pPr>
        <w:ind w:left="567" w:hanging="567"/>
      </w:pPr>
      <w:rPr>
        <w:rFonts w:hint="eastAsia"/>
      </w:rPr>
    </w:lvl>
    <w:lvl w:ilvl="2" w:tentative="0">
      <w:start w:val="1"/>
      <w:numFmt w:val="decimal"/>
      <w:lvlText w:val="%1.%2.%3."/>
      <w:lvlJc w:val="left"/>
      <w:pPr>
        <w:ind w:left="709" w:hanging="709"/>
      </w:pPr>
      <w:rPr>
        <w:rFonts w:hint="eastAsia"/>
      </w:rPr>
    </w:lvl>
    <w:lvl w:ilvl="3" w:tentative="0">
      <w:start w:val="1"/>
      <w:numFmt w:val="decimal"/>
      <w:lvlText w:val="%1.%2.%3.%4."/>
      <w:lvlJc w:val="left"/>
      <w:pPr>
        <w:ind w:left="851" w:hanging="851"/>
      </w:pPr>
      <w:rPr>
        <w:rFonts w:hint="eastAsia"/>
      </w:rPr>
    </w:lvl>
    <w:lvl w:ilvl="4" w:tentative="0">
      <w:start w:val="1"/>
      <w:numFmt w:val="decimal"/>
      <w:lvlText w:val="%1.%2.%3.%4.%5."/>
      <w:lvlJc w:val="left"/>
      <w:pPr>
        <w:ind w:left="992" w:hanging="992"/>
      </w:pPr>
      <w:rPr>
        <w:rFonts w:hint="eastAsia"/>
      </w:rPr>
    </w:lvl>
    <w:lvl w:ilvl="5" w:tentative="0">
      <w:start w:val="1"/>
      <w:numFmt w:val="decimal"/>
      <w:lvlText w:val="%1.%2.%3.%4.%5.%6."/>
      <w:lvlJc w:val="left"/>
      <w:pPr>
        <w:ind w:left="1134" w:hanging="1134"/>
      </w:pPr>
      <w:rPr>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lang w:val="zh-CN" w:eastAsia="zh-CN"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6" w:tentative="0">
      <w:start w:val="1"/>
      <w:numFmt w:val="decimal"/>
      <w:lvlText w:val="%1.%2.%3.%4.%5.%6.%7."/>
      <w:lvlJc w:val="left"/>
      <w:pPr>
        <w:ind w:left="1276" w:hanging="1276"/>
      </w:pPr>
      <w:rPr>
        <w:rFonts w:hint="eastAsia"/>
      </w:rPr>
    </w:lvl>
    <w:lvl w:ilvl="7" w:tentative="0">
      <w:start w:val="1"/>
      <w:numFmt w:val="decimal"/>
      <w:lvlText w:val="%1.%2.%3.%4.%5.%6.%7.%8."/>
      <w:lvlJc w:val="left"/>
      <w:pPr>
        <w:ind w:left="1418" w:hanging="1418"/>
      </w:pPr>
      <w:rPr>
        <w:rFonts w:hint="eastAsia"/>
      </w:rPr>
    </w:lvl>
    <w:lvl w:ilvl="8" w:tentative="0">
      <w:start w:val="1"/>
      <w:numFmt w:val="decimal"/>
      <w:lvlText w:val="%1.%2.%3.%4.%5.%6.%7.%8.%9."/>
      <w:lvlJc w:val="left"/>
      <w:pPr>
        <w:ind w:left="1559" w:hanging="1559"/>
      </w:pPr>
      <w:rPr>
        <w:rFonts w:hint="eastAsia"/>
      </w:rPr>
    </w:lvl>
  </w:abstractNum>
  <w:abstractNum w:abstractNumId="13">
    <w:nsid w:val="3CF6EF77"/>
    <w:multiLevelType w:val="singleLevel"/>
    <w:tmpl w:val="3CF6EF77"/>
    <w:lvl w:ilvl="0" w:tentative="0">
      <w:start w:val="1"/>
      <w:numFmt w:val="decimal"/>
      <w:lvlText w:val="%1."/>
      <w:lvlJc w:val="left"/>
      <w:pPr>
        <w:ind w:left="425" w:hanging="425"/>
      </w:pPr>
      <w:rPr>
        <w:rFonts w:hint="default"/>
      </w:rPr>
    </w:lvl>
  </w:abstractNum>
  <w:abstractNum w:abstractNumId="14">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5">
    <w:nsid w:val="3DACB226"/>
    <w:multiLevelType w:val="singleLevel"/>
    <w:tmpl w:val="3DACB226"/>
    <w:lvl w:ilvl="0" w:tentative="0">
      <w:start w:val="2"/>
      <w:numFmt w:val="decimal"/>
      <w:lvlText w:val="%1."/>
      <w:lvlJc w:val="left"/>
      <w:pPr>
        <w:tabs>
          <w:tab w:val="left" w:pos="312"/>
        </w:tabs>
      </w:pPr>
    </w:lvl>
  </w:abstractNum>
  <w:abstractNum w:abstractNumId="16">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7">
    <w:nsid w:val="520018B0"/>
    <w:multiLevelType w:val="multilevel"/>
    <w:tmpl w:val="520018B0"/>
    <w:lvl w:ilvl="0" w:tentative="0">
      <w:start w:val="1"/>
      <w:numFmt w:val="decimal"/>
      <w:pStyle w:val="151"/>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D20133"/>
    <w:multiLevelType w:val="multilevel"/>
    <w:tmpl w:val="56D20133"/>
    <w:lvl w:ilvl="0" w:tentative="0">
      <w:start w:val="1"/>
      <w:numFmt w:val="chineseCountingThousand"/>
      <w:pStyle w:val="14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9">
    <w:nsid w:val="5983D379"/>
    <w:multiLevelType w:val="singleLevel"/>
    <w:tmpl w:val="5983D379"/>
    <w:lvl w:ilvl="0" w:tentative="0">
      <w:start w:val="1"/>
      <w:numFmt w:val="decimal"/>
      <w:lvlText w:val="(%1)"/>
      <w:lvlJc w:val="left"/>
      <w:pPr>
        <w:ind w:left="425" w:hanging="425"/>
      </w:pPr>
      <w:rPr>
        <w:rFonts w:hint="default"/>
      </w:rPr>
    </w:lvl>
  </w:abstractNum>
  <w:abstractNum w:abstractNumId="20">
    <w:nsid w:val="601EF0A6"/>
    <w:multiLevelType w:val="singleLevel"/>
    <w:tmpl w:val="601EF0A6"/>
    <w:lvl w:ilvl="0" w:tentative="0">
      <w:start w:val="1"/>
      <w:numFmt w:val="decimal"/>
      <w:lvlText w:val="(%1)"/>
      <w:lvlJc w:val="left"/>
      <w:pPr>
        <w:ind w:left="425" w:hanging="425"/>
      </w:pPr>
      <w:rPr>
        <w:rFonts w:hint="default"/>
      </w:rPr>
    </w:lvl>
  </w:abstractNum>
  <w:abstractNum w:abstractNumId="21">
    <w:nsid w:val="646260FA"/>
    <w:multiLevelType w:val="multilevel"/>
    <w:tmpl w:val="646260FA"/>
    <w:lvl w:ilvl="0" w:tentative="0">
      <w:start w:val="1"/>
      <w:numFmt w:val="decimal"/>
      <w:pStyle w:val="13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2">
    <w:nsid w:val="656A6EAE"/>
    <w:multiLevelType w:val="multilevel"/>
    <w:tmpl w:val="656A6EAE"/>
    <w:lvl w:ilvl="0" w:tentative="0">
      <w:start w:val="1"/>
      <w:numFmt w:val="chineseCountingThousand"/>
      <w:pStyle w:val="148"/>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3">
    <w:nsid w:val="6E8C6948"/>
    <w:multiLevelType w:val="singleLevel"/>
    <w:tmpl w:val="6E8C6948"/>
    <w:lvl w:ilvl="0" w:tentative="0">
      <w:start w:val="1"/>
      <w:numFmt w:val="chineseCounting"/>
      <w:suff w:val="space"/>
      <w:lvlText w:val="第%1部分"/>
      <w:lvlJc w:val="left"/>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2"/>
  </w:num>
  <w:num w:numId="3">
    <w:abstractNumId w:val="18"/>
  </w:num>
  <w:num w:numId="4">
    <w:abstractNumId w:val="11"/>
  </w:num>
  <w:num w:numId="5">
    <w:abstractNumId w:val="17"/>
  </w:num>
  <w:num w:numId="6">
    <w:abstractNumId w:val="23"/>
  </w:num>
  <w:num w:numId="7">
    <w:abstractNumId w:val="14"/>
  </w:num>
  <w:num w:numId="8">
    <w:abstractNumId w:val="19"/>
  </w:num>
  <w:num w:numId="9">
    <w:abstractNumId w:val="24"/>
  </w:num>
  <w:num w:numId="10">
    <w:abstractNumId w:val="6"/>
  </w:num>
  <w:num w:numId="11">
    <w:abstractNumId w:val="5"/>
  </w:num>
  <w:num w:numId="12">
    <w:abstractNumId w:val="2"/>
  </w:num>
  <w:num w:numId="13">
    <w:abstractNumId w:val="0"/>
  </w:num>
  <w:num w:numId="14">
    <w:abstractNumId w:val="4"/>
  </w:num>
  <w:num w:numId="15">
    <w:abstractNumId w:val="10"/>
  </w:num>
  <w:num w:numId="16">
    <w:abstractNumId w:val="7"/>
  </w:num>
  <w:num w:numId="17">
    <w:abstractNumId w:val="16"/>
  </w:num>
  <w:num w:numId="18">
    <w:abstractNumId w:val="13"/>
  </w:num>
  <w:num w:numId="19">
    <w:abstractNumId w:val="8"/>
  </w:num>
  <w:num w:numId="20">
    <w:abstractNumId w:val="12"/>
  </w:num>
  <w:num w:numId="21">
    <w:abstractNumId w:val="3"/>
  </w:num>
  <w:num w:numId="22">
    <w:abstractNumId w:val="9"/>
  </w:num>
  <w:num w:numId="23">
    <w:abstractNumId w:val="15"/>
  </w:num>
  <w:num w:numId="24">
    <w:abstractNumId w:val="20"/>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5D1"/>
    <w:rsid w:val="00022B06"/>
    <w:rsid w:val="00036836"/>
    <w:rsid w:val="0005777A"/>
    <w:rsid w:val="00065382"/>
    <w:rsid w:val="00080223"/>
    <w:rsid w:val="000A5309"/>
    <w:rsid w:val="000D6A51"/>
    <w:rsid w:val="000F45A3"/>
    <w:rsid w:val="001076E5"/>
    <w:rsid w:val="001C1EE3"/>
    <w:rsid w:val="001C713C"/>
    <w:rsid w:val="001D75B9"/>
    <w:rsid w:val="00200F05"/>
    <w:rsid w:val="00220056"/>
    <w:rsid w:val="002626ED"/>
    <w:rsid w:val="00265A40"/>
    <w:rsid w:val="00282FDE"/>
    <w:rsid w:val="0028615B"/>
    <w:rsid w:val="0029130A"/>
    <w:rsid w:val="002F49D4"/>
    <w:rsid w:val="00304629"/>
    <w:rsid w:val="00306AB3"/>
    <w:rsid w:val="003A4540"/>
    <w:rsid w:val="003B4D7D"/>
    <w:rsid w:val="003E0AB3"/>
    <w:rsid w:val="00401C42"/>
    <w:rsid w:val="004076DE"/>
    <w:rsid w:val="00460AFB"/>
    <w:rsid w:val="00470130"/>
    <w:rsid w:val="00483B0A"/>
    <w:rsid w:val="0048779A"/>
    <w:rsid w:val="00495476"/>
    <w:rsid w:val="004B5126"/>
    <w:rsid w:val="004D0330"/>
    <w:rsid w:val="004D0838"/>
    <w:rsid w:val="004F7838"/>
    <w:rsid w:val="004F7F0F"/>
    <w:rsid w:val="00503391"/>
    <w:rsid w:val="00552960"/>
    <w:rsid w:val="00553B27"/>
    <w:rsid w:val="0056018A"/>
    <w:rsid w:val="00567344"/>
    <w:rsid w:val="005829DC"/>
    <w:rsid w:val="005B1856"/>
    <w:rsid w:val="005C0B4E"/>
    <w:rsid w:val="005C421F"/>
    <w:rsid w:val="005D3BBC"/>
    <w:rsid w:val="005F16F0"/>
    <w:rsid w:val="006505D3"/>
    <w:rsid w:val="0065185D"/>
    <w:rsid w:val="00680629"/>
    <w:rsid w:val="00686C52"/>
    <w:rsid w:val="006D6075"/>
    <w:rsid w:val="006F1414"/>
    <w:rsid w:val="006F15E0"/>
    <w:rsid w:val="007432BF"/>
    <w:rsid w:val="007525BF"/>
    <w:rsid w:val="0077033B"/>
    <w:rsid w:val="007800DC"/>
    <w:rsid w:val="007838AA"/>
    <w:rsid w:val="00783D5E"/>
    <w:rsid w:val="00785FD6"/>
    <w:rsid w:val="007B212D"/>
    <w:rsid w:val="007F4254"/>
    <w:rsid w:val="00806A61"/>
    <w:rsid w:val="008153DE"/>
    <w:rsid w:val="00824BFD"/>
    <w:rsid w:val="008453B3"/>
    <w:rsid w:val="00866678"/>
    <w:rsid w:val="008D3B56"/>
    <w:rsid w:val="008D5CEF"/>
    <w:rsid w:val="008F16FB"/>
    <w:rsid w:val="00927F74"/>
    <w:rsid w:val="009360F9"/>
    <w:rsid w:val="00964F00"/>
    <w:rsid w:val="0097676D"/>
    <w:rsid w:val="009B511E"/>
    <w:rsid w:val="009E0F5E"/>
    <w:rsid w:val="009E321E"/>
    <w:rsid w:val="00A03FB0"/>
    <w:rsid w:val="00A21EB2"/>
    <w:rsid w:val="00A31561"/>
    <w:rsid w:val="00A54E95"/>
    <w:rsid w:val="00A80564"/>
    <w:rsid w:val="00A960B2"/>
    <w:rsid w:val="00AE6633"/>
    <w:rsid w:val="00B01FF1"/>
    <w:rsid w:val="00B12C29"/>
    <w:rsid w:val="00B4611C"/>
    <w:rsid w:val="00B72516"/>
    <w:rsid w:val="00B92C97"/>
    <w:rsid w:val="00BA3C70"/>
    <w:rsid w:val="00BB4E42"/>
    <w:rsid w:val="00C01073"/>
    <w:rsid w:val="00C32A8D"/>
    <w:rsid w:val="00C855F6"/>
    <w:rsid w:val="00C92F53"/>
    <w:rsid w:val="00CD5223"/>
    <w:rsid w:val="00CE5010"/>
    <w:rsid w:val="00CE6E17"/>
    <w:rsid w:val="00D0528A"/>
    <w:rsid w:val="00D11B37"/>
    <w:rsid w:val="00D408EF"/>
    <w:rsid w:val="00D5145C"/>
    <w:rsid w:val="00D535A8"/>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3C3304"/>
    <w:rsid w:val="014832F2"/>
    <w:rsid w:val="014D51C1"/>
    <w:rsid w:val="01714809"/>
    <w:rsid w:val="01C52478"/>
    <w:rsid w:val="020A48DB"/>
    <w:rsid w:val="02184C85"/>
    <w:rsid w:val="027408EE"/>
    <w:rsid w:val="02963F39"/>
    <w:rsid w:val="02BA7274"/>
    <w:rsid w:val="03251978"/>
    <w:rsid w:val="0325718A"/>
    <w:rsid w:val="037C672A"/>
    <w:rsid w:val="039E25ED"/>
    <w:rsid w:val="03A10C87"/>
    <w:rsid w:val="042921B6"/>
    <w:rsid w:val="04AD02B8"/>
    <w:rsid w:val="04DF17D4"/>
    <w:rsid w:val="04EF3042"/>
    <w:rsid w:val="05151950"/>
    <w:rsid w:val="05412745"/>
    <w:rsid w:val="05491761"/>
    <w:rsid w:val="05A351AD"/>
    <w:rsid w:val="05C234EE"/>
    <w:rsid w:val="05D95918"/>
    <w:rsid w:val="05DF009E"/>
    <w:rsid w:val="05F9748A"/>
    <w:rsid w:val="06032214"/>
    <w:rsid w:val="060B4B7B"/>
    <w:rsid w:val="06132F28"/>
    <w:rsid w:val="06160D68"/>
    <w:rsid w:val="06266F78"/>
    <w:rsid w:val="063E7B7A"/>
    <w:rsid w:val="06582413"/>
    <w:rsid w:val="067E33B8"/>
    <w:rsid w:val="069C2954"/>
    <w:rsid w:val="06C11211"/>
    <w:rsid w:val="06E82FCB"/>
    <w:rsid w:val="06F34B95"/>
    <w:rsid w:val="06F7064A"/>
    <w:rsid w:val="07571DAC"/>
    <w:rsid w:val="078A0D17"/>
    <w:rsid w:val="08000695"/>
    <w:rsid w:val="08332819"/>
    <w:rsid w:val="08E64121"/>
    <w:rsid w:val="090D5816"/>
    <w:rsid w:val="0942017F"/>
    <w:rsid w:val="09BA1FBB"/>
    <w:rsid w:val="09CB139F"/>
    <w:rsid w:val="09D73678"/>
    <w:rsid w:val="0A0106F5"/>
    <w:rsid w:val="0A112AB7"/>
    <w:rsid w:val="0A447F32"/>
    <w:rsid w:val="0AD71BC7"/>
    <w:rsid w:val="0ADB7197"/>
    <w:rsid w:val="0AF420EB"/>
    <w:rsid w:val="0B2B2BF5"/>
    <w:rsid w:val="0B2F3908"/>
    <w:rsid w:val="0B3F6206"/>
    <w:rsid w:val="0BDB06E0"/>
    <w:rsid w:val="0BE12DB6"/>
    <w:rsid w:val="0C345AD1"/>
    <w:rsid w:val="0C626CE4"/>
    <w:rsid w:val="0D0C2B7B"/>
    <w:rsid w:val="0D9308F8"/>
    <w:rsid w:val="0E1A1D85"/>
    <w:rsid w:val="0E2350DD"/>
    <w:rsid w:val="0E4D292A"/>
    <w:rsid w:val="0E696120"/>
    <w:rsid w:val="0E750568"/>
    <w:rsid w:val="0EB93A32"/>
    <w:rsid w:val="0F2D7A80"/>
    <w:rsid w:val="0F4277E5"/>
    <w:rsid w:val="0F6B7381"/>
    <w:rsid w:val="0FA75561"/>
    <w:rsid w:val="0FB83603"/>
    <w:rsid w:val="0FCA77F1"/>
    <w:rsid w:val="0FCD5DCC"/>
    <w:rsid w:val="10270545"/>
    <w:rsid w:val="108A1D4B"/>
    <w:rsid w:val="10A10111"/>
    <w:rsid w:val="10BE093E"/>
    <w:rsid w:val="110F6D60"/>
    <w:rsid w:val="111B0FE9"/>
    <w:rsid w:val="115F67A8"/>
    <w:rsid w:val="119A7465"/>
    <w:rsid w:val="11C07DA5"/>
    <w:rsid w:val="12491386"/>
    <w:rsid w:val="12746E74"/>
    <w:rsid w:val="12E60579"/>
    <w:rsid w:val="13606F15"/>
    <w:rsid w:val="13695B36"/>
    <w:rsid w:val="1372609F"/>
    <w:rsid w:val="13CE1569"/>
    <w:rsid w:val="13DF3855"/>
    <w:rsid w:val="14092DB2"/>
    <w:rsid w:val="14157AEB"/>
    <w:rsid w:val="145A6A37"/>
    <w:rsid w:val="1467440F"/>
    <w:rsid w:val="148D59E6"/>
    <w:rsid w:val="14F73019"/>
    <w:rsid w:val="15433A9B"/>
    <w:rsid w:val="15D13671"/>
    <w:rsid w:val="15FC2F04"/>
    <w:rsid w:val="15FD3709"/>
    <w:rsid w:val="16181FAC"/>
    <w:rsid w:val="166050EB"/>
    <w:rsid w:val="168756A0"/>
    <w:rsid w:val="16F94849"/>
    <w:rsid w:val="17001571"/>
    <w:rsid w:val="17045E51"/>
    <w:rsid w:val="172011D4"/>
    <w:rsid w:val="17252C3B"/>
    <w:rsid w:val="173F0A2E"/>
    <w:rsid w:val="175E1F8C"/>
    <w:rsid w:val="17770BC2"/>
    <w:rsid w:val="17860E2F"/>
    <w:rsid w:val="17A119AA"/>
    <w:rsid w:val="17AF1095"/>
    <w:rsid w:val="17C55E7C"/>
    <w:rsid w:val="17E258AB"/>
    <w:rsid w:val="18586F2B"/>
    <w:rsid w:val="192F3CC4"/>
    <w:rsid w:val="1935690C"/>
    <w:rsid w:val="19516138"/>
    <w:rsid w:val="19A766B9"/>
    <w:rsid w:val="19BE4F9F"/>
    <w:rsid w:val="19CE76BA"/>
    <w:rsid w:val="19F26070"/>
    <w:rsid w:val="19F97C8B"/>
    <w:rsid w:val="1A1523CE"/>
    <w:rsid w:val="1A21343D"/>
    <w:rsid w:val="1A456066"/>
    <w:rsid w:val="1AA730BD"/>
    <w:rsid w:val="1ABD4410"/>
    <w:rsid w:val="1AD66019"/>
    <w:rsid w:val="1B333D5D"/>
    <w:rsid w:val="1B587618"/>
    <w:rsid w:val="1B5F19C7"/>
    <w:rsid w:val="1B995951"/>
    <w:rsid w:val="1C1C709B"/>
    <w:rsid w:val="1C9F6814"/>
    <w:rsid w:val="1D5C514E"/>
    <w:rsid w:val="1D834723"/>
    <w:rsid w:val="1D85395E"/>
    <w:rsid w:val="1D865D14"/>
    <w:rsid w:val="1D8705EC"/>
    <w:rsid w:val="1E2B1113"/>
    <w:rsid w:val="1E43150B"/>
    <w:rsid w:val="1EA93E80"/>
    <w:rsid w:val="1EC024D4"/>
    <w:rsid w:val="1ED33FB6"/>
    <w:rsid w:val="1EE81332"/>
    <w:rsid w:val="1EED2D98"/>
    <w:rsid w:val="1F32415A"/>
    <w:rsid w:val="1F5A4199"/>
    <w:rsid w:val="1F7E2174"/>
    <w:rsid w:val="1FC32513"/>
    <w:rsid w:val="20107567"/>
    <w:rsid w:val="207870A4"/>
    <w:rsid w:val="208717DB"/>
    <w:rsid w:val="20AB56C6"/>
    <w:rsid w:val="20F04B19"/>
    <w:rsid w:val="2176507C"/>
    <w:rsid w:val="21BA10C4"/>
    <w:rsid w:val="21BE35AF"/>
    <w:rsid w:val="21C11174"/>
    <w:rsid w:val="22244B28"/>
    <w:rsid w:val="22467FD4"/>
    <w:rsid w:val="22784511"/>
    <w:rsid w:val="229451FD"/>
    <w:rsid w:val="22A12DB6"/>
    <w:rsid w:val="234E7F91"/>
    <w:rsid w:val="236356D1"/>
    <w:rsid w:val="23A91C83"/>
    <w:rsid w:val="23C962E8"/>
    <w:rsid w:val="247E4FED"/>
    <w:rsid w:val="24B30BE8"/>
    <w:rsid w:val="24C6643F"/>
    <w:rsid w:val="24E34060"/>
    <w:rsid w:val="24EF2718"/>
    <w:rsid w:val="253A0491"/>
    <w:rsid w:val="253D4C0F"/>
    <w:rsid w:val="25AE4934"/>
    <w:rsid w:val="25CF2B74"/>
    <w:rsid w:val="25E036B2"/>
    <w:rsid w:val="25E9082A"/>
    <w:rsid w:val="25F42473"/>
    <w:rsid w:val="26AF2D79"/>
    <w:rsid w:val="26B34B91"/>
    <w:rsid w:val="270D66E8"/>
    <w:rsid w:val="27514612"/>
    <w:rsid w:val="27597388"/>
    <w:rsid w:val="278B0DAB"/>
    <w:rsid w:val="278E71A5"/>
    <w:rsid w:val="279C6B0E"/>
    <w:rsid w:val="27A64735"/>
    <w:rsid w:val="27CC4DF2"/>
    <w:rsid w:val="281864F2"/>
    <w:rsid w:val="28316337"/>
    <w:rsid w:val="286903EF"/>
    <w:rsid w:val="287F5DD3"/>
    <w:rsid w:val="288047CB"/>
    <w:rsid w:val="289E62FA"/>
    <w:rsid w:val="291E2CA6"/>
    <w:rsid w:val="29331862"/>
    <w:rsid w:val="29390498"/>
    <w:rsid w:val="299E147F"/>
    <w:rsid w:val="29C32A87"/>
    <w:rsid w:val="29CF26DC"/>
    <w:rsid w:val="2A1C5DA0"/>
    <w:rsid w:val="2A200D39"/>
    <w:rsid w:val="2A507EFF"/>
    <w:rsid w:val="2ADC05A4"/>
    <w:rsid w:val="2B0423C1"/>
    <w:rsid w:val="2B6F0D7F"/>
    <w:rsid w:val="2B797443"/>
    <w:rsid w:val="2B8716BD"/>
    <w:rsid w:val="2B8B76FF"/>
    <w:rsid w:val="2BC22DD1"/>
    <w:rsid w:val="2BD5034F"/>
    <w:rsid w:val="2C0B6845"/>
    <w:rsid w:val="2C9E432B"/>
    <w:rsid w:val="2CAC08A7"/>
    <w:rsid w:val="2D025012"/>
    <w:rsid w:val="2D2D2A3B"/>
    <w:rsid w:val="2D4178F0"/>
    <w:rsid w:val="2DA535EC"/>
    <w:rsid w:val="2DAE631A"/>
    <w:rsid w:val="2DCC054E"/>
    <w:rsid w:val="2DD877E0"/>
    <w:rsid w:val="2DE616C9"/>
    <w:rsid w:val="2DFC2451"/>
    <w:rsid w:val="2E3422F8"/>
    <w:rsid w:val="2E392F37"/>
    <w:rsid w:val="2E6D31FB"/>
    <w:rsid w:val="2E6E566D"/>
    <w:rsid w:val="2E7F188E"/>
    <w:rsid w:val="2EBC0905"/>
    <w:rsid w:val="2EC73739"/>
    <w:rsid w:val="2EFB1B0E"/>
    <w:rsid w:val="2F5C684F"/>
    <w:rsid w:val="303A20E7"/>
    <w:rsid w:val="307776D1"/>
    <w:rsid w:val="30862574"/>
    <w:rsid w:val="30B631E1"/>
    <w:rsid w:val="311933AA"/>
    <w:rsid w:val="317D15BB"/>
    <w:rsid w:val="31A67308"/>
    <w:rsid w:val="31D07E6C"/>
    <w:rsid w:val="323F65DA"/>
    <w:rsid w:val="32412074"/>
    <w:rsid w:val="325B63D6"/>
    <w:rsid w:val="32A0644D"/>
    <w:rsid w:val="32AA7B37"/>
    <w:rsid w:val="32DE0199"/>
    <w:rsid w:val="32E26B1D"/>
    <w:rsid w:val="33594510"/>
    <w:rsid w:val="335B2774"/>
    <w:rsid w:val="33A4642E"/>
    <w:rsid w:val="33A877AB"/>
    <w:rsid w:val="33D4039C"/>
    <w:rsid w:val="33D47E05"/>
    <w:rsid w:val="340017FF"/>
    <w:rsid w:val="3413677D"/>
    <w:rsid w:val="342B544B"/>
    <w:rsid w:val="343839A4"/>
    <w:rsid w:val="345E036E"/>
    <w:rsid w:val="34DE1E4F"/>
    <w:rsid w:val="34F07DB1"/>
    <w:rsid w:val="358D07D1"/>
    <w:rsid w:val="35B0692A"/>
    <w:rsid w:val="35D354B8"/>
    <w:rsid w:val="35D4025C"/>
    <w:rsid w:val="35F516ED"/>
    <w:rsid w:val="35FC2392"/>
    <w:rsid w:val="362666BC"/>
    <w:rsid w:val="363E0457"/>
    <w:rsid w:val="368A6B11"/>
    <w:rsid w:val="36A77DAA"/>
    <w:rsid w:val="37085B1F"/>
    <w:rsid w:val="372E04CB"/>
    <w:rsid w:val="37742729"/>
    <w:rsid w:val="37C85FF9"/>
    <w:rsid w:val="383557ED"/>
    <w:rsid w:val="38D55634"/>
    <w:rsid w:val="38E070F2"/>
    <w:rsid w:val="390B0AC4"/>
    <w:rsid w:val="390D33AB"/>
    <w:rsid w:val="391E6D06"/>
    <w:rsid w:val="396D6DE6"/>
    <w:rsid w:val="39CE5179"/>
    <w:rsid w:val="3A074847"/>
    <w:rsid w:val="3A695377"/>
    <w:rsid w:val="3AA90FE6"/>
    <w:rsid w:val="3AA9318F"/>
    <w:rsid w:val="3AB62DA0"/>
    <w:rsid w:val="3AC61BD3"/>
    <w:rsid w:val="3B273268"/>
    <w:rsid w:val="3B7D3FD5"/>
    <w:rsid w:val="3B823DDF"/>
    <w:rsid w:val="3BE4369A"/>
    <w:rsid w:val="3C084B3D"/>
    <w:rsid w:val="3C237ED3"/>
    <w:rsid w:val="3C91192E"/>
    <w:rsid w:val="3CAA596A"/>
    <w:rsid w:val="3CB1587B"/>
    <w:rsid w:val="3CB7061B"/>
    <w:rsid w:val="3CB735F2"/>
    <w:rsid w:val="3D186684"/>
    <w:rsid w:val="3D363C36"/>
    <w:rsid w:val="3D4C7C96"/>
    <w:rsid w:val="3D8B2178"/>
    <w:rsid w:val="3DB34909"/>
    <w:rsid w:val="3DD115F5"/>
    <w:rsid w:val="3DE435F0"/>
    <w:rsid w:val="3DE5122C"/>
    <w:rsid w:val="3DF37E53"/>
    <w:rsid w:val="3E3761F9"/>
    <w:rsid w:val="3E3A1504"/>
    <w:rsid w:val="3E401B6A"/>
    <w:rsid w:val="3ED26DE9"/>
    <w:rsid w:val="3EED17D0"/>
    <w:rsid w:val="3F0C0304"/>
    <w:rsid w:val="3F4402BD"/>
    <w:rsid w:val="3FE25AA0"/>
    <w:rsid w:val="3FEC147E"/>
    <w:rsid w:val="4024153A"/>
    <w:rsid w:val="403703F1"/>
    <w:rsid w:val="40376375"/>
    <w:rsid w:val="40EF47EC"/>
    <w:rsid w:val="412732B7"/>
    <w:rsid w:val="4127791F"/>
    <w:rsid w:val="41281794"/>
    <w:rsid w:val="413C1FDF"/>
    <w:rsid w:val="41806A69"/>
    <w:rsid w:val="41B0259C"/>
    <w:rsid w:val="41BC6F1C"/>
    <w:rsid w:val="41EF2363"/>
    <w:rsid w:val="41F77860"/>
    <w:rsid w:val="424A4B98"/>
    <w:rsid w:val="42581D3A"/>
    <w:rsid w:val="4262787F"/>
    <w:rsid w:val="42B90260"/>
    <w:rsid w:val="42FE0080"/>
    <w:rsid w:val="43315D2E"/>
    <w:rsid w:val="43824A1C"/>
    <w:rsid w:val="4390486D"/>
    <w:rsid w:val="43D110E1"/>
    <w:rsid w:val="43E873C9"/>
    <w:rsid w:val="441540A8"/>
    <w:rsid w:val="44250817"/>
    <w:rsid w:val="445E7E37"/>
    <w:rsid w:val="44905B1F"/>
    <w:rsid w:val="45007767"/>
    <w:rsid w:val="45316885"/>
    <w:rsid w:val="4567010B"/>
    <w:rsid w:val="4577147D"/>
    <w:rsid w:val="45A95EE9"/>
    <w:rsid w:val="45FB0F21"/>
    <w:rsid w:val="46167166"/>
    <w:rsid w:val="461A2194"/>
    <w:rsid w:val="465E515F"/>
    <w:rsid w:val="4677009C"/>
    <w:rsid w:val="46AE7548"/>
    <w:rsid w:val="47200EE3"/>
    <w:rsid w:val="47435AC2"/>
    <w:rsid w:val="47544B78"/>
    <w:rsid w:val="47587AF7"/>
    <w:rsid w:val="47745A86"/>
    <w:rsid w:val="47E239AC"/>
    <w:rsid w:val="480C3F11"/>
    <w:rsid w:val="480F4B73"/>
    <w:rsid w:val="48334AEC"/>
    <w:rsid w:val="48380650"/>
    <w:rsid w:val="48422874"/>
    <w:rsid w:val="48B06FCF"/>
    <w:rsid w:val="48DB38E3"/>
    <w:rsid w:val="49001B5E"/>
    <w:rsid w:val="490552B7"/>
    <w:rsid w:val="491522AB"/>
    <w:rsid w:val="49376DB0"/>
    <w:rsid w:val="49804BB7"/>
    <w:rsid w:val="49826DCB"/>
    <w:rsid w:val="499013E7"/>
    <w:rsid w:val="49BD69A9"/>
    <w:rsid w:val="49C8088A"/>
    <w:rsid w:val="49CB3D06"/>
    <w:rsid w:val="4A301C93"/>
    <w:rsid w:val="4A3302AB"/>
    <w:rsid w:val="4A4B6D70"/>
    <w:rsid w:val="4A7F3A12"/>
    <w:rsid w:val="4AC85D49"/>
    <w:rsid w:val="4AE308A9"/>
    <w:rsid w:val="4AEA3DF7"/>
    <w:rsid w:val="4AFD11D9"/>
    <w:rsid w:val="4B294DDA"/>
    <w:rsid w:val="4B9A1456"/>
    <w:rsid w:val="4BA32C82"/>
    <w:rsid w:val="4BB072A9"/>
    <w:rsid w:val="4BC62B76"/>
    <w:rsid w:val="4BD73978"/>
    <w:rsid w:val="4BE70627"/>
    <w:rsid w:val="4BED4059"/>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9F15D5"/>
    <w:rsid w:val="4EDB289F"/>
    <w:rsid w:val="4EF11A75"/>
    <w:rsid w:val="4F08773C"/>
    <w:rsid w:val="4F31409F"/>
    <w:rsid w:val="4F5E670E"/>
    <w:rsid w:val="4F846A83"/>
    <w:rsid w:val="4F9F2966"/>
    <w:rsid w:val="50070E2C"/>
    <w:rsid w:val="504B57F2"/>
    <w:rsid w:val="508229B7"/>
    <w:rsid w:val="509A4341"/>
    <w:rsid w:val="50C62BC7"/>
    <w:rsid w:val="50F72A66"/>
    <w:rsid w:val="5123368C"/>
    <w:rsid w:val="5130747C"/>
    <w:rsid w:val="515C765A"/>
    <w:rsid w:val="516610D8"/>
    <w:rsid w:val="518A1B56"/>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E26C0B"/>
    <w:rsid w:val="54FB4092"/>
    <w:rsid w:val="55326D63"/>
    <w:rsid w:val="555D1A10"/>
    <w:rsid w:val="55CE2B4A"/>
    <w:rsid w:val="560D391C"/>
    <w:rsid w:val="56AC4A78"/>
    <w:rsid w:val="56DB16B9"/>
    <w:rsid w:val="574436DA"/>
    <w:rsid w:val="57772F69"/>
    <w:rsid w:val="577A3463"/>
    <w:rsid w:val="57F967AD"/>
    <w:rsid w:val="58052975"/>
    <w:rsid w:val="5895693C"/>
    <w:rsid w:val="58E525CA"/>
    <w:rsid w:val="58FD43FD"/>
    <w:rsid w:val="59080439"/>
    <w:rsid w:val="593D045A"/>
    <w:rsid w:val="5960739E"/>
    <w:rsid w:val="59896D0A"/>
    <w:rsid w:val="59B72684"/>
    <w:rsid w:val="59CC6E29"/>
    <w:rsid w:val="59CE7D0B"/>
    <w:rsid w:val="5A082249"/>
    <w:rsid w:val="5A9579AE"/>
    <w:rsid w:val="5AC468CD"/>
    <w:rsid w:val="5AD813C2"/>
    <w:rsid w:val="5AEE6358"/>
    <w:rsid w:val="5B342B9A"/>
    <w:rsid w:val="5B5953B0"/>
    <w:rsid w:val="5B5B1AB4"/>
    <w:rsid w:val="5B630802"/>
    <w:rsid w:val="5B807F68"/>
    <w:rsid w:val="5B9F5D96"/>
    <w:rsid w:val="5BFB631F"/>
    <w:rsid w:val="5C034D53"/>
    <w:rsid w:val="5C903B7A"/>
    <w:rsid w:val="5E1D6F56"/>
    <w:rsid w:val="5E52187F"/>
    <w:rsid w:val="5E6A13CD"/>
    <w:rsid w:val="5E705D15"/>
    <w:rsid w:val="5E92274E"/>
    <w:rsid w:val="5E93326C"/>
    <w:rsid w:val="5E9F1A7A"/>
    <w:rsid w:val="5EAA6F51"/>
    <w:rsid w:val="5EE93447"/>
    <w:rsid w:val="5EFB4BA4"/>
    <w:rsid w:val="5F5F46B5"/>
    <w:rsid w:val="5F895CFD"/>
    <w:rsid w:val="5FB25360"/>
    <w:rsid w:val="5FBA3CC0"/>
    <w:rsid w:val="5FD90D61"/>
    <w:rsid w:val="60177697"/>
    <w:rsid w:val="602329DB"/>
    <w:rsid w:val="602C13CC"/>
    <w:rsid w:val="607777D6"/>
    <w:rsid w:val="60911000"/>
    <w:rsid w:val="609C1726"/>
    <w:rsid w:val="60BC76A1"/>
    <w:rsid w:val="610B7637"/>
    <w:rsid w:val="615F5624"/>
    <w:rsid w:val="61847970"/>
    <w:rsid w:val="61BE4076"/>
    <w:rsid w:val="61D215CF"/>
    <w:rsid w:val="622C5484"/>
    <w:rsid w:val="623929DF"/>
    <w:rsid w:val="625C563D"/>
    <w:rsid w:val="626A1704"/>
    <w:rsid w:val="62AD7E76"/>
    <w:rsid w:val="62B362C8"/>
    <w:rsid w:val="62C1330E"/>
    <w:rsid w:val="630C5A29"/>
    <w:rsid w:val="6342085E"/>
    <w:rsid w:val="636F415C"/>
    <w:rsid w:val="640470C9"/>
    <w:rsid w:val="64785A9C"/>
    <w:rsid w:val="64917820"/>
    <w:rsid w:val="64AA1CC5"/>
    <w:rsid w:val="651D5BE5"/>
    <w:rsid w:val="655F1E1A"/>
    <w:rsid w:val="656B2909"/>
    <w:rsid w:val="65914A0B"/>
    <w:rsid w:val="65A3045D"/>
    <w:rsid w:val="65D97752"/>
    <w:rsid w:val="65E25E59"/>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7D5E3A"/>
    <w:rsid w:val="67936CBD"/>
    <w:rsid w:val="68011379"/>
    <w:rsid w:val="68252C37"/>
    <w:rsid w:val="68817BAC"/>
    <w:rsid w:val="689A5E59"/>
    <w:rsid w:val="68E91861"/>
    <w:rsid w:val="68EE72DF"/>
    <w:rsid w:val="690F0B4D"/>
    <w:rsid w:val="692E2EB0"/>
    <w:rsid w:val="69485FEA"/>
    <w:rsid w:val="694C7BCA"/>
    <w:rsid w:val="69677DC0"/>
    <w:rsid w:val="69937EC7"/>
    <w:rsid w:val="69D64558"/>
    <w:rsid w:val="6A042548"/>
    <w:rsid w:val="6A471EFD"/>
    <w:rsid w:val="6A7F64C7"/>
    <w:rsid w:val="6A90616B"/>
    <w:rsid w:val="6AB51A05"/>
    <w:rsid w:val="6AB57116"/>
    <w:rsid w:val="6AE73176"/>
    <w:rsid w:val="6B17424A"/>
    <w:rsid w:val="6B2218FA"/>
    <w:rsid w:val="6B691672"/>
    <w:rsid w:val="6BC8641A"/>
    <w:rsid w:val="6BE97F42"/>
    <w:rsid w:val="6BEF3E88"/>
    <w:rsid w:val="6C296590"/>
    <w:rsid w:val="6C5E6A51"/>
    <w:rsid w:val="6C65048B"/>
    <w:rsid w:val="6C6513C3"/>
    <w:rsid w:val="6C744268"/>
    <w:rsid w:val="6C9000D6"/>
    <w:rsid w:val="6CD62D03"/>
    <w:rsid w:val="6CD97FB6"/>
    <w:rsid w:val="6CF1513C"/>
    <w:rsid w:val="6D4B22B8"/>
    <w:rsid w:val="6D4F2026"/>
    <w:rsid w:val="6D930013"/>
    <w:rsid w:val="6DDA16D9"/>
    <w:rsid w:val="6E1A1656"/>
    <w:rsid w:val="6E231DD6"/>
    <w:rsid w:val="6E5A5288"/>
    <w:rsid w:val="6E5D2F46"/>
    <w:rsid w:val="6EE013EE"/>
    <w:rsid w:val="6EE079F1"/>
    <w:rsid w:val="6EE42C42"/>
    <w:rsid w:val="6F7F7CB0"/>
    <w:rsid w:val="6FE0165C"/>
    <w:rsid w:val="6FE6309C"/>
    <w:rsid w:val="6FF0551E"/>
    <w:rsid w:val="70222744"/>
    <w:rsid w:val="70631398"/>
    <w:rsid w:val="706D2B21"/>
    <w:rsid w:val="707B1384"/>
    <w:rsid w:val="70857A34"/>
    <w:rsid w:val="70985D3C"/>
    <w:rsid w:val="70F40FA1"/>
    <w:rsid w:val="71047C73"/>
    <w:rsid w:val="7109004F"/>
    <w:rsid w:val="71103167"/>
    <w:rsid w:val="712E56F7"/>
    <w:rsid w:val="71642194"/>
    <w:rsid w:val="71691ABB"/>
    <w:rsid w:val="7169386A"/>
    <w:rsid w:val="71AE1AEA"/>
    <w:rsid w:val="71CF3B6C"/>
    <w:rsid w:val="71F80F33"/>
    <w:rsid w:val="722013F6"/>
    <w:rsid w:val="722922C6"/>
    <w:rsid w:val="722A49B5"/>
    <w:rsid w:val="728121EC"/>
    <w:rsid w:val="732D4B5D"/>
    <w:rsid w:val="73393C88"/>
    <w:rsid w:val="7362513F"/>
    <w:rsid w:val="7372081D"/>
    <w:rsid w:val="73740A39"/>
    <w:rsid w:val="73771D49"/>
    <w:rsid w:val="73A1354E"/>
    <w:rsid w:val="74A11E7D"/>
    <w:rsid w:val="74B25745"/>
    <w:rsid w:val="74C12F49"/>
    <w:rsid w:val="74F97739"/>
    <w:rsid w:val="750E2D70"/>
    <w:rsid w:val="75590B0A"/>
    <w:rsid w:val="7582279F"/>
    <w:rsid w:val="75843EB5"/>
    <w:rsid w:val="75BB71AF"/>
    <w:rsid w:val="75F01962"/>
    <w:rsid w:val="75F86E00"/>
    <w:rsid w:val="75FC2261"/>
    <w:rsid w:val="76037E52"/>
    <w:rsid w:val="760E19DF"/>
    <w:rsid w:val="761B75CE"/>
    <w:rsid w:val="76676A53"/>
    <w:rsid w:val="76B620A1"/>
    <w:rsid w:val="76F20814"/>
    <w:rsid w:val="77462524"/>
    <w:rsid w:val="7754544E"/>
    <w:rsid w:val="77A21064"/>
    <w:rsid w:val="77CE1052"/>
    <w:rsid w:val="77E34EB2"/>
    <w:rsid w:val="781564B8"/>
    <w:rsid w:val="78224ACF"/>
    <w:rsid w:val="783D4D66"/>
    <w:rsid w:val="788A2AAC"/>
    <w:rsid w:val="789645EE"/>
    <w:rsid w:val="78CD6DCC"/>
    <w:rsid w:val="78D07CAF"/>
    <w:rsid w:val="78DE12D7"/>
    <w:rsid w:val="78FC2038"/>
    <w:rsid w:val="78FC33D7"/>
    <w:rsid w:val="79210683"/>
    <w:rsid w:val="792417A2"/>
    <w:rsid w:val="798810B6"/>
    <w:rsid w:val="799C3465"/>
    <w:rsid w:val="79B14EC4"/>
    <w:rsid w:val="79BE1ECC"/>
    <w:rsid w:val="79C95345"/>
    <w:rsid w:val="79D917F7"/>
    <w:rsid w:val="7A2A6B4A"/>
    <w:rsid w:val="7A681070"/>
    <w:rsid w:val="7A860C7C"/>
    <w:rsid w:val="7AAD79E7"/>
    <w:rsid w:val="7AB879FE"/>
    <w:rsid w:val="7B0272C5"/>
    <w:rsid w:val="7B3264DD"/>
    <w:rsid w:val="7B7374F2"/>
    <w:rsid w:val="7B81188A"/>
    <w:rsid w:val="7B9E2902"/>
    <w:rsid w:val="7BA434D7"/>
    <w:rsid w:val="7BC854E2"/>
    <w:rsid w:val="7C0562EC"/>
    <w:rsid w:val="7C1D1542"/>
    <w:rsid w:val="7C27683F"/>
    <w:rsid w:val="7C8B6DF3"/>
    <w:rsid w:val="7CB14B4D"/>
    <w:rsid w:val="7CF26969"/>
    <w:rsid w:val="7D25523C"/>
    <w:rsid w:val="7DB23041"/>
    <w:rsid w:val="7DFE3170"/>
    <w:rsid w:val="7E346B9D"/>
    <w:rsid w:val="7E5F7809"/>
    <w:rsid w:val="7EB22415"/>
    <w:rsid w:val="7ED56C53"/>
    <w:rsid w:val="7EEA1BAF"/>
    <w:rsid w:val="7F5460D4"/>
    <w:rsid w:val="7F552892"/>
    <w:rsid w:val="7F904A46"/>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0"/>
    <w:pPr>
      <w:keepNext/>
      <w:keepLines/>
      <w:jc w:val="center"/>
      <w:outlineLvl w:val="0"/>
    </w:pPr>
    <w:rPr>
      <w:b/>
      <w:bCs/>
      <w:kern w:val="44"/>
      <w:sz w:val="36"/>
      <w:szCs w:val="44"/>
    </w:rPr>
  </w:style>
  <w:style w:type="paragraph" w:styleId="3">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Normal Indent"/>
    <w:basedOn w:val="1"/>
    <w:qFormat/>
    <w:uiPriority w:val="0"/>
    <w:pPr>
      <w:ind w:firstLine="420"/>
    </w:pPr>
    <w:rPr>
      <w:rFonts w:ascii="Times New Roman" w:hAnsi="Times New Roman"/>
      <w:kern w:val="0"/>
      <w:sz w:val="20"/>
      <w:szCs w:val="20"/>
    </w:rPr>
  </w:style>
  <w:style w:type="paragraph" w:styleId="10">
    <w:name w:val="caption"/>
    <w:basedOn w:val="1"/>
    <w:next w:val="1"/>
    <w:qFormat/>
    <w:uiPriority w:val="35"/>
    <w:pPr>
      <w:spacing w:before="152" w:after="160"/>
    </w:pPr>
    <w:rPr>
      <w:rFonts w:ascii="Arial" w:hAnsi="Arial" w:eastAsia="黑体" w:cs="Arial"/>
      <w:sz w:val="20"/>
      <w:szCs w:val="20"/>
    </w:rPr>
  </w:style>
  <w:style w:type="paragraph" w:styleId="11">
    <w:name w:val="Document Map"/>
    <w:basedOn w:val="1"/>
    <w:link w:val="72"/>
    <w:qFormat/>
    <w:uiPriority w:val="0"/>
    <w:pPr>
      <w:shd w:val="clear" w:color="auto" w:fill="000080"/>
    </w:pPr>
    <w:rPr>
      <w:sz w:val="24"/>
    </w:rPr>
  </w:style>
  <w:style w:type="paragraph" w:styleId="12">
    <w:name w:val="toa heading"/>
    <w:basedOn w:val="1"/>
    <w:next w:val="1"/>
    <w:qFormat/>
    <w:uiPriority w:val="99"/>
    <w:pPr>
      <w:spacing w:before="120"/>
    </w:pPr>
    <w:rPr>
      <w:rFonts w:ascii="Arial" w:hAnsi="Arial" w:eastAsia="宋体" w:cs="Arial"/>
      <w:sz w:val="24"/>
      <w:szCs w:val="24"/>
    </w:rPr>
  </w:style>
  <w:style w:type="paragraph" w:styleId="13">
    <w:name w:val="annotation text"/>
    <w:basedOn w:val="1"/>
    <w:link w:val="63"/>
    <w:qFormat/>
    <w:uiPriority w:val="0"/>
    <w:pPr>
      <w:jc w:val="left"/>
    </w:pPr>
  </w:style>
  <w:style w:type="paragraph" w:styleId="14">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5">
    <w:name w:val="Body Text"/>
    <w:basedOn w:val="1"/>
    <w:next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6">
    <w:name w:val="Body Text Indent"/>
    <w:basedOn w:val="1"/>
    <w:link w:val="81"/>
    <w:qFormat/>
    <w:uiPriority w:val="99"/>
    <w:pPr>
      <w:spacing w:after="120"/>
      <w:ind w:left="420" w:leftChars="200"/>
    </w:pPr>
    <w:rPr>
      <w:rFonts w:ascii="Calibri" w:hAnsi="Calibri" w:eastAsia="宋体" w:cs="Times New Roman"/>
      <w:szCs w:val="20"/>
    </w:rPr>
  </w:style>
  <w:style w:type="paragraph" w:styleId="17">
    <w:name w:val="index 4"/>
    <w:basedOn w:val="1"/>
    <w:next w:val="1"/>
    <w:qFormat/>
    <w:uiPriority w:val="0"/>
    <w:pPr>
      <w:ind w:left="600" w:leftChars="600"/>
    </w:pPr>
  </w:style>
  <w:style w:type="paragraph" w:styleId="18">
    <w:name w:val="toc 5"/>
    <w:basedOn w:val="1"/>
    <w:next w:val="1"/>
    <w:qFormat/>
    <w:uiPriority w:val="39"/>
    <w:pPr>
      <w:ind w:left="960"/>
      <w:jc w:val="left"/>
    </w:pPr>
    <w:rPr>
      <w:rFonts w:ascii="Calibri" w:hAnsi="Calibri" w:eastAsia="宋体" w:cs="Times New Roman"/>
      <w:sz w:val="18"/>
      <w:szCs w:val="18"/>
    </w:rPr>
  </w:style>
  <w:style w:type="paragraph" w:styleId="19">
    <w:name w:val="toc 3"/>
    <w:basedOn w:val="1"/>
    <w:next w:val="1"/>
    <w:qFormat/>
    <w:uiPriority w:val="39"/>
    <w:pPr>
      <w:ind w:left="480"/>
      <w:jc w:val="left"/>
    </w:pPr>
    <w:rPr>
      <w:rFonts w:ascii="Calibri" w:hAnsi="Calibri" w:eastAsia="宋体" w:cs="Times New Roman"/>
      <w:i/>
      <w:iCs/>
      <w:sz w:val="20"/>
      <w:szCs w:val="20"/>
    </w:rPr>
  </w:style>
  <w:style w:type="paragraph" w:styleId="20">
    <w:name w:val="Plain Text"/>
    <w:basedOn w:val="1"/>
    <w:link w:val="74"/>
    <w:qFormat/>
    <w:uiPriority w:val="0"/>
    <w:rPr>
      <w:rFonts w:ascii="宋体" w:hAnsi="Courier New"/>
    </w:rPr>
  </w:style>
  <w:style w:type="paragraph" w:styleId="21">
    <w:name w:val="toc 8"/>
    <w:basedOn w:val="1"/>
    <w:next w:val="1"/>
    <w:qFormat/>
    <w:uiPriority w:val="39"/>
    <w:pPr>
      <w:ind w:left="1680"/>
      <w:jc w:val="left"/>
    </w:pPr>
    <w:rPr>
      <w:rFonts w:ascii="Calibri" w:hAnsi="Calibri" w:eastAsia="宋体" w:cs="Times New Roman"/>
      <w:sz w:val="18"/>
      <w:szCs w:val="18"/>
    </w:rPr>
  </w:style>
  <w:style w:type="paragraph" w:styleId="22">
    <w:name w:val="Date"/>
    <w:basedOn w:val="1"/>
    <w:next w:val="1"/>
    <w:link w:val="65"/>
    <w:qFormat/>
    <w:uiPriority w:val="0"/>
    <w:pPr>
      <w:ind w:left="100" w:leftChars="2500"/>
    </w:pPr>
    <w:rPr>
      <w:sz w:val="24"/>
    </w:rPr>
  </w:style>
  <w:style w:type="paragraph" w:styleId="23">
    <w:name w:val="Body Text Indent 2"/>
    <w:basedOn w:val="1"/>
    <w:link w:val="53"/>
    <w:qFormat/>
    <w:uiPriority w:val="0"/>
    <w:pPr>
      <w:spacing w:after="120" w:line="480" w:lineRule="auto"/>
      <w:ind w:left="420" w:leftChars="200"/>
    </w:pPr>
  </w:style>
  <w:style w:type="paragraph" w:styleId="24">
    <w:name w:val="Balloon Text"/>
    <w:basedOn w:val="1"/>
    <w:link w:val="69"/>
    <w:qFormat/>
    <w:uiPriority w:val="0"/>
    <w:rPr>
      <w:sz w:val="18"/>
    </w:rPr>
  </w:style>
  <w:style w:type="paragraph" w:styleId="25">
    <w:name w:val="footer"/>
    <w:basedOn w:val="1"/>
    <w:link w:val="75"/>
    <w:qFormat/>
    <w:uiPriority w:val="99"/>
    <w:pPr>
      <w:tabs>
        <w:tab w:val="center" w:pos="4153"/>
        <w:tab w:val="right" w:pos="8306"/>
      </w:tabs>
      <w:snapToGrid w:val="0"/>
      <w:jc w:val="left"/>
    </w:pPr>
    <w:rPr>
      <w:sz w:val="18"/>
    </w:rPr>
  </w:style>
  <w:style w:type="paragraph" w:styleId="26">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qFormat/>
    <w:uiPriority w:val="39"/>
    <w:pPr>
      <w:ind w:left="720"/>
      <w:jc w:val="left"/>
    </w:pPr>
    <w:rPr>
      <w:rFonts w:ascii="Calibri" w:hAnsi="Calibri" w:eastAsia="宋体" w:cs="Times New Roman"/>
      <w:sz w:val="18"/>
      <w:szCs w:val="18"/>
    </w:rPr>
  </w:style>
  <w:style w:type="paragraph" w:styleId="29">
    <w:name w:val="List"/>
    <w:basedOn w:val="1"/>
    <w:qFormat/>
    <w:uiPriority w:val="99"/>
    <w:pPr>
      <w:ind w:left="420" w:hanging="420"/>
    </w:pPr>
    <w:rPr>
      <w:rFonts w:ascii="Times New Roman" w:hAnsi="Times New Roman" w:eastAsia="宋体" w:cs="Times New Roman"/>
      <w:szCs w:val="20"/>
    </w:rPr>
  </w:style>
  <w:style w:type="paragraph" w:styleId="30">
    <w:name w:val="toc 6"/>
    <w:basedOn w:val="1"/>
    <w:next w:val="1"/>
    <w:qFormat/>
    <w:uiPriority w:val="39"/>
    <w:pPr>
      <w:ind w:left="1200"/>
      <w:jc w:val="left"/>
    </w:pPr>
    <w:rPr>
      <w:rFonts w:ascii="Calibri" w:hAnsi="Calibri" w:eastAsia="宋体" w:cs="Times New Roman"/>
      <w:sz w:val="18"/>
      <w:szCs w:val="18"/>
    </w:rPr>
  </w:style>
  <w:style w:type="paragraph" w:styleId="31">
    <w:name w:val="Body Text Indent 3"/>
    <w:basedOn w:val="1"/>
    <w:link w:val="55"/>
    <w:qFormat/>
    <w:uiPriority w:val="0"/>
    <w:pPr>
      <w:spacing w:after="120"/>
      <w:ind w:left="420" w:leftChars="200"/>
    </w:pPr>
    <w:rPr>
      <w:sz w:val="16"/>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3"/>
    <w:next w:val="13"/>
    <w:link w:val="54"/>
    <w:qFormat/>
    <w:uiPriority w:val="0"/>
    <w:rPr>
      <w:b/>
    </w:rPr>
  </w:style>
  <w:style w:type="paragraph" w:styleId="38">
    <w:name w:val="Body Text First Indent 2"/>
    <w:basedOn w:val="16"/>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2"/>
    <w:qFormat/>
    <w:uiPriority w:val="0"/>
    <w:rPr>
      <w:rFonts w:ascii="Calibri" w:hAnsi="Calibri" w:eastAsia="宋体" w:cs="Times New Roman"/>
      <w:b/>
      <w:bCs/>
      <w:kern w:val="44"/>
      <w:sz w:val="36"/>
      <w:szCs w:val="44"/>
    </w:rPr>
  </w:style>
  <w:style w:type="character" w:customStyle="1" w:styleId="50">
    <w:name w:val="标题 2 字符"/>
    <w:basedOn w:val="41"/>
    <w:link w:val="3"/>
    <w:qFormat/>
    <w:uiPriority w:val="9"/>
    <w:rPr>
      <w:rFonts w:ascii="Arial" w:hAnsi="Arial" w:eastAsia="宋体" w:cs="Times New Roman"/>
      <w:b/>
      <w:bCs/>
      <w:sz w:val="24"/>
      <w:szCs w:val="32"/>
    </w:rPr>
  </w:style>
  <w:style w:type="character" w:customStyle="1" w:styleId="51">
    <w:name w:val="标题 3 字符"/>
    <w:basedOn w:val="41"/>
    <w:link w:val="4"/>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3"/>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1"/>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6"/>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3"/>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2"/>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4"/>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1"/>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0"/>
    <w:qFormat/>
    <w:locked/>
    <w:uiPriority w:val="0"/>
    <w:rPr>
      <w:rFonts w:ascii="宋体" w:hAnsi="Courier New"/>
    </w:rPr>
  </w:style>
  <w:style w:type="character" w:customStyle="1" w:styleId="75">
    <w:name w:val="页脚 字符"/>
    <w:link w:val="25"/>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6"/>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5"/>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20"/>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3"/>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4"/>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2"/>
    <w:link w:val="143"/>
    <w:qFormat/>
    <w:uiPriority w:val="0"/>
    <w:rPr>
      <w:rFonts w:eastAsia="黑体"/>
      <w:b w:val="0"/>
      <w:color w:val="000000"/>
      <w:sz w:val="30"/>
      <w:szCs w:val="24"/>
    </w:rPr>
  </w:style>
  <w:style w:type="paragraph" w:customStyle="1" w:styleId="135">
    <w:name w:val="首行缩进"/>
    <w:basedOn w:val="1"/>
    <w:qFormat/>
    <w:uiPriority w:val="0"/>
    <w:pPr>
      <w:ind w:firstLine="480" w:firstLineChars="200"/>
    </w:pPr>
    <w:rPr>
      <w:lang w:val="zh-CN"/>
    </w:rPr>
  </w:style>
  <w:style w:type="paragraph" w:customStyle="1" w:styleId="136">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8">
    <w:name w:val="正文表标题"/>
    <w:next w:val="137"/>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9">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40">
    <w:name w:val="font11"/>
    <w:basedOn w:val="41"/>
    <w:qFormat/>
    <w:uiPriority w:val="0"/>
    <w:rPr>
      <w:rFonts w:hint="eastAsia" w:ascii="宋体" w:hAnsi="宋体" w:eastAsia="宋体" w:cs="宋体"/>
      <w:color w:val="000000"/>
      <w:sz w:val="32"/>
      <w:szCs w:val="32"/>
      <w:u w:val="none"/>
    </w:rPr>
  </w:style>
  <w:style w:type="character" w:customStyle="1" w:styleId="141">
    <w:name w:val="font21"/>
    <w:basedOn w:val="41"/>
    <w:qFormat/>
    <w:uiPriority w:val="0"/>
    <w:rPr>
      <w:rFonts w:hint="eastAsia" w:ascii="宋体" w:hAnsi="宋体" w:eastAsia="宋体" w:cs="宋体"/>
      <w:color w:val="000000"/>
      <w:sz w:val="21"/>
      <w:szCs w:val="21"/>
      <w:u w:val="none"/>
    </w:rPr>
  </w:style>
  <w:style w:type="character" w:customStyle="1" w:styleId="142">
    <w:name w:val="font41"/>
    <w:basedOn w:val="41"/>
    <w:qFormat/>
    <w:uiPriority w:val="0"/>
    <w:rPr>
      <w:rFonts w:hint="default" w:ascii="Times New Roman" w:hAnsi="Times New Roman" w:cs="Times New Roman"/>
      <w:color w:val="000000"/>
      <w:sz w:val="32"/>
      <w:szCs w:val="32"/>
      <w:u w:val="none"/>
    </w:rPr>
  </w:style>
  <w:style w:type="character" w:customStyle="1" w:styleId="143">
    <w:name w:val="标书一级标题 字符"/>
    <w:link w:val="134"/>
    <w:qFormat/>
    <w:uiPriority w:val="0"/>
    <w:rPr>
      <w:rFonts w:eastAsia="黑体" w:asciiTheme="minorHAnsi" w:hAnsiTheme="minorHAnsi" w:cstheme="minorBidi"/>
      <w:bCs/>
      <w:color w:val="000000"/>
      <w:kern w:val="44"/>
      <w:sz w:val="30"/>
      <w:szCs w:val="24"/>
    </w:rPr>
  </w:style>
  <w:style w:type="character" w:customStyle="1" w:styleId="144">
    <w:name w:val="Unresolved Mention"/>
    <w:basedOn w:val="41"/>
    <w:semiHidden/>
    <w:unhideWhenUsed/>
    <w:qFormat/>
    <w:uiPriority w:val="99"/>
    <w:rPr>
      <w:color w:val="605E5C"/>
      <w:shd w:val="clear" w:color="auto" w:fill="E1DFDD"/>
    </w:rPr>
  </w:style>
  <w:style w:type="paragraph" w:customStyle="1" w:styleId="145">
    <w:name w:val="章节"/>
    <w:basedOn w:val="20"/>
    <w:qFormat/>
    <w:uiPriority w:val="0"/>
    <w:pPr>
      <w:spacing w:line="360" w:lineRule="auto"/>
      <w:jc w:val="center"/>
      <w:outlineLvl w:val="0"/>
    </w:pPr>
    <w:rPr>
      <w:rFonts w:ascii="黑体" w:eastAsia="黑体"/>
      <w:b/>
      <w:bCs/>
      <w:sz w:val="36"/>
      <w:szCs w:val="36"/>
    </w:rPr>
  </w:style>
  <w:style w:type="paragraph" w:customStyle="1" w:styleId="146">
    <w:name w:val="标书正文"/>
    <w:basedOn w:val="20"/>
    <w:qFormat/>
    <w:uiPriority w:val="9"/>
    <w:pPr>
      <w:spacing w:line="360" w:lineRule="auto"/>
      <w:jc w:val="left"/>
    </w:pPr>
  </w:style>
  <w:style w:type="paragraph" w:customStyle="1" w:styleId="147">
    <w:name w:val="表格"/>
    <w:basedOn w:val="1"/>
    <w:qFormat/>
    <w:uiPriority w:val="10"/>
    <w:rPr>
      <w:rFonts w:ascii="宋体" w:hAnsi="宋体"/>
      <w:szCs w:val="30"/>
    </w:rPr>
  </w:style>
  <w:style w:type="paragraph" w:customStyle="1" w:styleId="148">
    <w:name w:val="一级标题"/>
    <w:basedOn w:val="20"/>
    <w:qFormat/>
    <w:uiPriority w:val="1"/>
    <w:pPr>
      <w:numPr>
        <w:ilvl w:val="0"/>
        <w:numId w:val="2"/>
      </w:numPr>
      <w:spacing w:line="360" w:lineRule="auto"/>
      <w:ind w:left="420"/>
      <w:outlineLvl w:val="1"/>
    </w:pPr>
    <w:rPr>
      <w:rFonts w:ascii="黑体" w:eastAsia="黑体"/>
      <w:b/>
      <w:bCs/>
      <w:sz w:val="28"/>
    </w:rPr>
  </w:style>
  <w:style w:type="paragraph" w:customStyle="1" w:styleId="149">
    <w:name w:val="（二）级标题"/>
    <w:basedOn w:val="20"/>
    <w:qFormat/>
    <w:uiPriority w:val="2"/>
    <w:pPr>
      <w:numPr>
        <w:ilvl w:val="0"/>
        <w:numId w:val="3"/>
      </w:numPr>
      <w:spacing w:line="360" w:lineRule="auto"/>
      <w:outlineLvl w:val="2"/>
    </w:pPr>
    <w:rPr>
      <w:b/>
    </w:rPr>
  </w:style>
  <w:style w:type="paragraph" w:customStyle="1" w:styleId="150">
    <w:name w:val="（4）级标题"/>
    <w:basedOn w:val="20"/>
    <w:qFormat/>
    <w:uiPriority w:val="8"/>
    <w:pPr>
      <w:numPr>
        <w:ilvl w:val="0"/>
        <w:numId w:val="4"/>
      </w:numPr>
      <w:spacing w:line="360" w:lineRule="auto"/>
      <w:outlineLvl w:val="4"/>
    </w:pPr>
  </w:style>
  <w:style w:type="paragraph" w:customStyle="1" w:styleId="151">
    <w:name w:val="3级标题"/>
    <w:basedOn w:val="20"/>
    <w:qFormat/>
    <w:uiPriority w:val="3"/>
    <w:pPr>
      <w:numPr>
        <w:ilvl w:val="0"/>
        <w:numId w:val="5"/>
      </w:numPr>
      <w:spacing w:line="360" w:lineRule="auto"/>
      <w:outlineLvl w:val="3"/>
    </w:pPr>
    <w:rPr>
      <w:b/>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9" Type="http://schemas.openxmlformats.org/officeDocument/2006/relationships/fontTable" Target="fontTable.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13.png"/><Relationship Id="rId45" Type="http://schemas.openxmlformats.org/officeDocument/2006/relationships/image" Target="media/image12.png"/><Relationship Id="rId44" Type="http://schemas.openxmlformats.org/officeDocument/2006/relationships/image" Target="media/image11.png"/><Relationship Id="rId43" Type="http://schemas.openxmlformats.org/officeDocument/2006/relationships/image" Target="media/image10.png"/><Relationship Id="rId42" Type="http://schemas.openxmlformats.org/officeDocument/2006/relationships/image" Target="media/image9.png"/><Relationship Id="rId41" Type="http://schemas.openxmlformats.org/officeDocument/2006/relationships/image" Target="media/image8.png"/><Relationship Id="rId40" Type="http://schemas.openxmlformats.org/officeDocument/2006/relationships/image" Target="media/image7.png"/><Relationship Id="rId4" Type="http://schemas.openxmlformats.org/officeDocument/2006/relationships/footer" Target="footer2.xml"/><Relationship Id="rId39" Type="http://schemas.openxmlformats.org/officeDocument/2006/relationships/image" Target="media/image6.png"/><Relationship Id="rId38" Type="http://schemas.openxmlformats.org/officeDocument/2006/relationships/image" Target="media/image5.png"/><Relationship Id="rId37" Type="http://schemas.openxmlformats.org/officeDocument/2006/relationships/image" Target="media/image4.png"/><Relationship Id="rId36" Type="http://schemas.openxmlformats.org/officeDocument/2006/relationships/image" Target="media/image3.png"/><Relationship Id="rId35" Type="http://schemas.openxmlformats.org/officeDocument/2006/relationships/image" Target="media/image2.png"/><Relationship Id="rId34" Type="http://schemas.openxmlformats.org/officeDocument/2006/relationships/image" Target="media/image1.png"/><Relationship Id="rId33" Type="http://schemas.openxmlformats.org/officeDocument/2006/relationships/theme" Target="theme/theme1.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header" Target="header6.xml"/><Relationship Id="rId3" Type="http://schemas.openxmlformats.org/officeDocument/2006/relationships/footer" Target="footer1.xml"/><Relationship Id="rId29" Type="http://schemas.openxmlformats.org/officeDocument/2006/relationships/header" Target="header5.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55</Pages>
  <Words>2387</Words>
  <Characters>2563</Characters>
  <Lines>465</Lines>
  <Paragraphs>130</Paragraphs>
  <TotalTime>3</TotalTime>
  <ScaleCrop>false</ScaleCrop>
  <LinksUpToDate>false</LinksUpToDate>
  <CharactersWithSpaces>2694</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2024-06-21T03:25:00Z</cp:lastPrinted>
  <dcterms:modified xsi:type="dcterms:W3CDTF">2025-10-23T08:53:42Z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ED02EB12B8294FE5807EAA5D2C3C24E0</vt:lpwstr>
  </property>
  <property fmtid="{D5CDD505-2E9C-101B-9397-08002B2CF9AE}" pid="4" name="KSOTemplateDocerSaveRecord">
    <vt:lpwstr>eyJoZGlkIjoiZTVjNDYyMzc4MjM3NTc0MDkyNTQyN2RmZGQyNmJiMjIiLCJ1c2VySWQiOiI1MDY1Mzc1NDcifQ==</vt:lpwstr>
  </property>
</Properties>
</file>