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790ACA">
      <w:pPr>
        <w:pStyle w:val="4"/>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中国重汽集团重汽后市场公司2026年调件运输项目</w:t>
      </w:r>
    </w:p>
    <w:p w14:paraId="30B9B168">
      <w:pPr>
        <w:pStyle w:val="4"/>
        <w:widowControl/>
        <w:jc w:val="center"/>
        <w:rPr>
          <w:i w:val="0"/>
          <w:iCs/>
          <w:sz w:val="32"/>
          <w:szCs w:val="32"/>
          <w:lang w:val="en-US"/>
        </w:rPr>
      </w:pPr>
      <w:r>
        <w:rPr>
          <w:rFonts w:hint="eastAsia" w:cs="宋体"/>
          <w:i w:val="0"/>
          <w:iCs/>
          <w:sz w:val="32"/>
          <w:szCs w:val="32"/>
          <w:lang w:val="en-US" w:eastAsia="zh-CN"/>
        </w:rPr>
        <w:t>公开招标公告</w:t>
      </w:r>
      <w:bookmarkEnd w:id="0"/>
    </w:p>
    <w:p w14:paraId="2538CB01">
      <w:pPr>
        <w:pStyle w:val="4"/>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ZBGL2026010366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ascii="微软雅黑" w:hAnsi="微软雅黑" w:eastAsia="微软雅黑" w:cs="微软雅黑"/>
                <w:i w:val="0"/>
                <w:iCs w:val="0"/>
                <w:caps w:val="0"/>
                <w:color w:val="3D4B64"/>
                <w:spacing w:val="0"/>
                <w:sz w:val="18"/>
                <w:szCs w:val="18"/>
                <w:shd w:val="clear" w:fill="F7F7F7"/>
              </w:rPr>
              <w:t>2026-0</w:t>
            </w:r>
            <w:r>
              <w:rPr>
                <w:rFonts w:hint="eastAsia" w:ascii="微软雅黑" w:hAnsi="微软雅黑" w:eastAsia="微软雅黑" w:cs="微软雅黑"/>
                <w:i w:val="0"/>
                <w:iCs w:val="0"/>
                <w:caps w:val="0"/>
                <w:color w:val="3D4B64"/>
                <w:spacing w:val="0"/>
                <w:sz w:val="18"/>
                <w:szCs w:val="18"/>
                <w:shd w:val="clear" w:fill="F7F7F7"/>
                <w:lang w:val="en-US" w:eastAsia="zh-CN"/>
              </w:rPr>
              <w:t>2</w:t>
            </w:r>
            <w:r>
              <w:rPr>
                <w:rFonts w:ascii="微软雅黑" w:hAnsi="微软雅黑" w:eastAsia="微软雅黑" w:cs="微软雅黑"/>
                <w:i w:val="0"/>
                <w:iCs w:val="0"/>
                <w:caps w:val="0"/>
                <w:color w:val="3D4B64"/>
                <w:spacing w:val="0"/>
                <w:sz w:val="18"/>
                <w:szCs w:val="18"/>
                <w:shd w:val="clear" w:fill="F7F7F7"/>
              </w:rPr>
              <w:t>-</w:t>
            </w:r>
            <w:r>
              <w:rPr>
                <w:rFonts w:hint="eastAsia" w:ascii="微软雅黑" w:hAnsi="微软雅黑" w:eastAsia="微软雅黑" w:cs="微软雅黑"/>
                <w:i w:val="0"/>
                <w:iCs w:val="0"/>
                <w:caps w:val="0"/>
                <w:color w:val="3D4B64"/>
                <w:spacing w:val="0"/>
                <w:sz w:val="18"/>
                <w:szCs w:val="18"/>
                <w:shd w:val="clear" w:fill="F7F7F7"/>
                <w:lang w:val="en-US" w:eastAsia="zh-CN"/>
              </w:rPr>
              <w:t>03</w:t>
            </w:r>
            <w:r>
              <w:rPr>
                <w:rFonts w:hint="eastAsia" w:ascii="微软雅黑" w:hAnsi="微软雅黑" w:eastAsia="微软雅黑" w:cs="微软雅黑"/>
                <w:color w:val="333333"/>
                <w:kern w:val="0"/>
                <w:sz w:val="24"/>
                <w:szCs w:val="24"/>
                <w:lang w:val="en-US" w:eastAsia="zh-CN" w:bidi="ar"/>
              </w:rPr>
              <w:t xml:space="preserve">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ascii="微软雅黑" w:hAnsi="微软雅黑" w:eastAsia="微软雅黑" w:cs="微软雅黑"/>
                <w:i w:val="0"/>
                <w:iCs w:val="0"/>
                <w:caps w:val="0"/>
                <w:color w:val="3D4B64"/>
                <w:spacing w:val="0"/>
                <w:sz w:val="18"/>
                <w:szCs w:val="18"/>
                <w:shd w:val="clear" w:fill="F7F7F7"/>
              </w:rPr>
              <w:t>2026-0</w:t>
            </w:r>
            <w:r>
              <w:rPr>
                <w:rFonts w:hint="eastAsia" w:ascii="微软雅黑" w:hAnsi="微软雅黑" w:eastAsia="微软雅黑" w:cs="微软雅黑"/>
                <w:i w:val="0"/>
                <w:iCs w:val="0"/>
                <w:caps w:val="0"/>
                <w:color w:val="3D4B64"/>
                <w:spacing w:val="0"/>
                <w:sz w:val="18"/>
                <w:szCs w:val="18"/>
                <w:shd w:val="clear" w:fill="F7F7F7"/>
                <w:lang w:val="en-US" w:eastAsia="zh-CN"/>
              </w:rPr>
              <w:t>2</w:t>
            </w:r>
            <w:r>
              <w:rPr>
                <w:rFonts w:ascii="微软雅黑" w:hAnsi="微软雅黑" w:eastAsia="微软雅黑" w:cs="微软雅黑"/>
                <w:i w:val="0"/>
                <w:iCs w:val="0"/>
                <w:caps w:val="0"/>
                <w:color w:val="3D4B64"/>
                <w:spacing w:val="0"/>
                <w:sz w:val="18"/>
                <w:szCs w:val="18"/>
                <w:shd w:val="clear" w:fill="F7F7F7"/>
              </w:rPr>
              <w:t>-</w:t>
            </w:r>
            <w:r>
              <w:rPr>
                <w:rFonts w:hint="eastAsia" w:ascii="微软雅黑" w:hAnsi="微软雅黑" w:eastAsia="微软雅黑" w:cs="微软雅黑"/>
                <w:i w:val="0"/>
                <w:iCs w:val="0"/>
                <w:caps w:val="0"/>
                <w:color w:val="3D4B64"/>
                <w:spacing w:val="0"/>
                <w:sz w:val="18"/>
                <w:szCs w:val="18"/>
                <w:shd w:val="clear" w:fill="F7F7F7"/>
                <w:lang w:val="en-US" w:eastAsia="zh-CN"/>
              </w:rPr>
              <w:t>09</w:t>
            </w:r>
            <w:r>
              <w:rPr>
                <w:rFonts w:ascii="微软雅黑" w:hAnsi="微软雅黑" w:eastAsia="微软雅黑" w:cs="微软雅黑"/>
                <w:i w:val="0"/>
                <w:iCs w:val="0"/>
                <w:caps w:val="0"/>
                <w:color w:val="3D4B64"/>
                <w:spacing w:val="0"/>
                <w:sz w:val="18"/>
                <w:szCs w:val="18"/>
                <w:shd w:val="clear" w:fill="F7F7F7"/>
              </w:rPr>
              <w:t xml:space="preserve"> 17:00:00</w:t>
            </w:r>
            <w:r>
              <w:rPr>
                <w:rFonts w:hint="eastAsia" w:ascii="微软雅黑" w:hAnsi="微软雅黑" w:eastAsia="微软雅黑" w:cs="微软雅黑"/>
                <w:color w:val="333333"/>
                <w:kern w:val="0"/>
                <w:sz w:val="24"/>
                <w:szCs w:val="24"/>
                <w:lang w:val="en-US" w:eastAsia="zh-CN" w:bidi="ar"/>
              </w:rPr>
              <w:t xml:space="preserve"> </w:t>
            </w:r>
          </w:p>
        </w:tc>
      </w:tr>
    </w:tbl>
    <w:p w14:paraId="40D0D37B">
      <w:pPr>
        <w:rPr>
          <w:rFonts w:hint="eastAsia" w:asciiTheme="majorEastAsia" w:hAnsiTheme="majorEastAsia" w:eastAsiaTheme="majorEastAsia" w:cstheme="majorEastAsia"/>
          <w:b/>
          <w:bCs/>
          <w:sz w:val="24"/>
          <w:szCs w:val="24"/>
        </w:rPr>
      </w:pP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一、项目概况  </w:t>
      </w:r>
      <w:r>
        <w:rPr>
          <w:rFonts w:hint="eastAsia" w:asciiTheme="majorEastAsia" w:hAnsiTheme="majorEastAsia" w:eastAsiaTheme="majorEastAsia" w:cstheme="majorEastAsia"/>
          <w:sz w:val="24"/>
          <w:szCs w:val="24"/>
        </w:rPr>
        <w:t xml:space="preserve">  </w:t>
      </w:r>
      <w:r>
        <w:rPr>
          <w:rFonts w:ascii="宋体" w:hAnsi="宋体" w:eastAsia="宋体" w:cs="宋体"/>
          <w:sz w:val="24"/>
          <w:szCs w:val="24"/>
        </w:rPr>
        <w:br w:type="textWrapping"/>
      </w:r>
      <w:r>
        <w:rPr>
          <w:rFonts w:hint="eastAsia" w:ascii="宋体" w:cs="宋体"/>
          <w:sz w:val="24"/>
          <w:lang w:val="en-US" w:eastAsia="zh-CN" w:bidi="ar"/>
        </w:rPr>
        <w:t>鉴于公司年度调件运输服务合同即将到期，为不影响业务正常运行，现启动2026年调件运输项目招标工作。</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201D916A">
      <w:pPr>
        <w:widowControl/>
        <w:spacing w:line="360" w:lineRule="auto"/>
        <w:ind w:firstLine="480" w:firstLineChars="200"/>
        <w:rPr>
          <w:rFonts w:hint="eastAsia" w:ascii="宋体" w:cs="宋体"/>
          <w:sz w:val="24"/>
          <w:lang w:val="en-US" w:eastAsia="zh-CN" w:bidi="ar"/>
        </w:rPr>
      </w:pPr>
      <w:r>
        <w:rPr>
          <w:rFonts w:hint="eastAsia" w:ascii="宋体" w:cs="宋体"/>
          <w:sz w:val="24"/>
          <w:lang w:val="en-US" w:eastAsia="zh-CN" w:bidi="ar"/>
        </w:rPr>
        <w:t>1、项目名称：中国重汽集团重汽后市场公司2026年调件运输项目</w:t>
      </w:r>
    </w:p>
    <w:p w14:paraId="0754FC1B">
      <w:pPr>
        <w:widowControl/>
        <w:spacing w:line="360" w:lineRule="auto"/>
        <w:ind w:firstLine="480" w:firstLineChars="200"/>
        <w:rPr>
          <w:rFonts w:hint="eastAsia" w:ascii="宋体" w:cs="宋体"/>
          <w:sz w:val="24"/>
          <w:lang w:val="en-US" w:eastAsia="zh-CN" w:bidi="ar"/>
        </w:rPr>
      </w:pPr>
      <w:r>
        <w:rPr>
          <w:rFonts w:hint="eastAsia" w:ascii="宋体" w:cs="宋体"/>
          <w:sz w:val="24"/>
          <w:lang w:val="en-US" w:eastAsia="zh-CN" w:bidi="ar"/>
        </w:rPr>
        <w:t>2、项目类别：服务类</w:t>
      </w:r>
    </w:p>
    <w:p w14:paraId="4A6FEF2F">
      <w:pPr>
        <w:widowControl/>
        <w:spacing w:line="360" w:lineRule="auto"/>
        <w:ind w:firstLine="480" w:firstLineChars="200"/>
        <w:rPr>
          <w:rFonts w:hint="eastAsia" w:ascii="宋体" w:cs="宋体"/>
          <w:sz w:val="24"/>
          <w:lang w:val="en-US" w:eastAsia="zh-CN" w:bidi="ar"/>
        </w:rPr>
      </w:pPr>
      <w:r>
        <w:rPr>
          <w:rFonts w:hint="eastAsia" w:ascii="宋体" w:cs="宋体"/>
          <w:sz w:val="24"/>
          <w:lang w:val="en-US" w:eastAsia="zh-CN" w:bidi="ar"/>
        </w:rPr>
        <w:t>3、采购方式：公开招标</w:t>
      </w:r>
    </w:p>
    <w:p w14:paraId="3F7B53FA">
      <w:pPr>
        <w:widowControl/>
        <w:spacing w:line="360" w:lineRule="auto"/>
        <w:ind w:firstLine="480" w:firstLineChars="200"/>
        <w:rPr>
          <w:rFonts w:hint="eastAsia" w:ascii="宋体" w:cs="宋体"/>
          <w:sz w:val="24"/>
          <w:lang w:val="en-US" w:eastAsia="zh-CN" w:bidi="ar"/>
        </w:rPr>
      </w:pPr>
      <w:r>
        <w:rPr>
          <w:rFonts w:hint="eastAsia" w:ascii="宋体" w:cs="宋体"/>
          <w:sz w:val="24"/>
          <w:lang w:val="en-US" w:eastAsia="zh-CN" w:bidi="ar"/>
        </w:rPr>
        <w:t>4、采购内容：本次项目招标内容： ⑴ ‌后市场公司调件运输‌：济南市、潍坊市、济宁商用车及其供应商、停车急用件库发往全国所有服务站的调件。 ⑵ ‌跨区域调件运输‌：中心库区域内或跨区域运输的停车急用件，若新增中心库或供应商，则执行该省（自治区、直辖市）对应的运输单价标准。 ⑶本次招标业务范围涵盖国际与研发配件物流运输，相关在进港或机场环节产生的合理费用，将依据实际发生情况凭有效发票实报实销。 ⑷时效要求：普通调件时效以不低于400公里/天的原则运输（不满400公里的，按400公里向上取整），停车故障件不低于700公里/天（不满700公里的，按700公里向上取整）；计算逻辑为签收时间-系统出库时间。</w:t>
      </w:r>
    </w:p>
    <w:p w14:paraId="768FB44B">
      <w:pPr>
        <w:widowControl/>
        <w:spacing w:line="360" w:lineRule="auto"/>
        <w:ind w:firstLine="480" w:firstLineChars="200"/>
        <w:rPr>
          <w:rFonts w:hint="eastAsia" w:ascii="宋体" w:cs="宋体"/>
          <w:sz w:val="24"/>
          <w:lang w:val="en-US" w:eastAsia="zh-CN" w:bidi="ar"/>
        </w:rPr>
      </w:pPr>
      <w:r>
        <w:rPr>
          <w:rFonts w:hint="eastAsia" w:ascii="宋体" w:cs="宋体"/>
          <w:sz w:val="24"/>
          <w:lang w:val="en-US" w:eastAsia="zh-CN" w:bidi="ar"/>
        </w:rPr>
        <w:t>5、预算金额：684.87万元</w:t>
      </w:r>
    </w:p>
    <w:p w14:paraId="50A3F91C">
      <w:pPr>
        <w:widowControl/>
        <w:spacing w:line="360" w:lineRule="auto"/>
        <w:ind w:firstLine="482"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供应商资格条件  </w:t>
      </w:r>
      <w:r>
        <w:rPr>
          <w:rFonts w:hint="eastAsia" w:asciiTheme="majorEastAsia" w:hAnsiTheme="majorEastAsia" w:eastAsiaTheme="majorEastAsia" w:cstheme="majorEastAsia"/>
          <w:sz w:val="24"/>
          <w:szCs w:val="24"/>
        </w:rPr>
        <w:t xml:space="preserve"> </w:t>
      </w:r>
    </w:p>
    <w:p w14:paraId="586B0D79">
      <w:pPr>
        <w:pStyle w:val="7"/>
        <w:numPr>
          <w:ilvl w:val="0"/>
          <w:numId w:val="0"/>
        </w:numPr>
        <w:tabs>
          <w:tab w:val="left" w:pos="1260"/>
        </w:tabs>
        <w:spacing w:before="11" w:line="360" w:lineRule="auto"/>
        <w:ind w:firstLine="357" w:firstLineChars="200"/>
        <w:rPr>
          <w:rFonts w:hint="eastAsia" w:ascii="宋体" w:hAnsi="宋体" w:eastAsia="宋体" w:cs="宋体"/>
          <w:sz w:val="15"/>
        </w:rPr>
      </w:pPr>
      <w:r>
        <w:rPr>
          <w:rFonts w:hint="eastAsia" w:ascii="宋体" w:hAnsi="宋体" w:eastAsia="宋体" w:cs="宋体"/>
          <w:b/>
          <w:bCs/>
          <w:spacing w:val="2"/>
          <w:w w:val="92"/>
          <w:sz w:val="19"/>
          <w:szCs w:val="19"/>
          <w:lang w:val="zh-CN" w:eastAsia="zh-CN" w:bidi="zh-CN"/>
        </w:rPr>
        <w:t>1.</w:t>
      </w:r>
      <w:r>
        <w:rPr>
          <w:rFonts w:hint="eastAsia" w:ascii="宋体" w:hAnsi="宋体" w:eastAsia="宋体" w:cs="宋体"/>
        </w:rPr>
        <w:t>投标人资格要求</w:t>
      </w:r>
      <w:r>
        <w:rPr>
          <w:rFonts w:hint="eastAsia" w:ascii="宋体" w:hAnsi="宋体" w:eastAsia="宋体" w:cs="宋体"/>
          <w:spacing w:val="2"/>
        </w:rPr>
        <w:t>：</w:t>
      </w:r>
    </w:p>
    <w:p w14:paraId="5D6CF3CD">
      <w:pPr>
        <w:pStyle w:val="8"/>
        <w:spacing w:before="1" w:line="360" w:lineRule="auto"/>
        <w:ind w:firstLine="420" w:firstLineChars="200"/>
        <w:rPr>
          <w:rFonts w:hint="eastAsia" w:ascii="宋体" w:hAnsi="宋体" w:eastAsia="宋体" w:cs="宋体"/>
        </w:rPr>
      </w:pPr>
      <w:r>
        <w:rPr>
          <w:rFonts w:hint="eastAsia" w:ascii="宋体" w:hAnsi="宋体" w:eastAsia="宋体" w:cs="宋体"/>
        </w:rPr>
        <w:t>1.</w:t>
      </w:r>
      <w:r>
        <w:rPr>
          <w:rFonts w:hint="eastAsia" w:ascii="宋体" w:hAnsi="宋体" w:eastAsia="宋体" w:cs="宋体"/>
          <w:lang w:val="en-US" w:eastAsia="zh-CN"/>
        </w:rPr>
        <w:t>1</w:t>
      </w:r>
      <w:r>
        <w:rPr>
          <w:rFonts w:hint="eastAsia" w:ascii="宋体" w:hAnsi="宋体" w:eastAsia="宋体" w:cs="宋体"/>
        </w:rPr>
        <w:t>符合以下条件的投标人即为合格的投标人，合格的投标人将具有参与评审的资格。</w:t>
      </w:r>
    </w:p>
    <w:p w14:paraId="4522CE94">
      <w:pPr>
        <w:pStyle w:val="8"/>
        <w:spacing w:before="1" w:line="360" w:lineRule="auto"/>
        <w:ind w:firstLine="420" w:firstLineChars="200"/>
        <w:rPr>
          <w:rFonts w:hint="eastAsia" w:ascii="宋体" w:hAnsi="宋体" w:eastAsia="宋体" w:cs="宋体"/>
        </w:rPr>
      </w:pPr>
      <w:r>
        <w:rPr>
          <w:rFonts w:hint="eastAsia" w:ascii="宋体" w:hAnsi="宋体" w:eastAsia="宋体" w:cs="宋体"/>
        </w:rPr>
        <w:t>（1）投标人须遵守《中华人民共和国招标投标法》、《中华人民共和国民法典》及其它有关的法律和法规；为中华人民共和国境内注册的独立法人机构，具有独立承担民事责任的能力；经营范围满足竞价项目需求；</w:t>
      </w:r>
    </w:p>
    <w:p w14:paraId="453D78E4">
      <w:pPr>
        <w:pStyle w:val="8"/>
        <w:spacing w:before="1" w:line="360" w:lineRule="auto"/>
        <w:ind w:firstLine="420" w:firstLineChars="200"/>
        <w:rPr>
          <w:rFonts w:hint="eastAsia" w:ascii="宋体" w:hAnsi="宋体" w:eastAsia="宋体" w:cs="宋体"/>
        </w:rPr>
      </w:pPr>
      <w:r>
        <w:rPr>
          <w:rFonts w:hint="eastAsia" w:ascii="宋体" w:hAnsi="宋体" w:eastAsia="宋体" w:cs="宋体"/>
        </w:rPr>
        <w:t>（2）注册资金不少于500万（现供方不受该条件限制），投标人须于投标时提供具有统一社会信用代码的三证合一的营业执照副本原件及复印件(加盖公章)；</w:t>
      </w:r>
    </w:p>
    <w:p w14:paraId="1B31EEFA">
      <w:pPr>
        <w:pStyle w:val="8"/>
        <w:spacing w:before="1" w:line="360" w:lineRule="auto"/>
        <w:ind w:firstLine="420" w:firstLineChars="200"/>
        <w:rPr>
          <w:rFonts w:hint="eastAsia" w:ascii="宋体" w:hAnsi="宋体" w:eastAsia="宋体" w:cs="宋体"/>
        </w:rPr>
      </w:pPr>
      <w:r>
        <w:rPr>
          <w:rFonts w:hint="eastAsia" w:ascii="宋体" w:hAnsi="宋体" w:eastAsia="宋体" w:cs="宋体"/>
        </w:rPr>
        <w:t>（3）投标人需提供：</w:t>
      </w:r>
    </w:p>
    <w:p w14:paraId="351C3208">
      <w:pPr>
        <w:pStyle w:val="8"/>
        <w:spacing w:before="1" w:line="360" w:lineRule="auto"/>
        <w:ind w:firstLine="420" w:firstLineChars="200"/>
        <w:rPr>
          <w:rFonts w:hint="eastAsia" w:ascii="宋体" w:hAnsi="宋体" w:eastAsia="宋体" w:cs="宋体"/>
        </w:rPr>
      </w:pPr>
      <w:r>
        <w:rPr>
          <w:rFonts w:hint="eastAsia" w:ascii="宋体" w:hAnsi="宋体" w:eastAsia="宋体" w:cs="宋体"/>
        </w:rPr>
        <w:t>①《道路运输经营许可证》原件及复印件(加盖公章)，并保证行政许可在有效期内；</w:t>
      </w:r>
    </w:p>
    <w:p w14:paraId="5C935D59">
      <w:pPr>
        <w:pStyle w:val="8"/>
        <w:spacing w:before="1" w:line="360" w:lineRule="auto"/>
        <w:ind w:firstLine="420" w:firstLineChars="200"/>
        <w:rPr>
          <w:rFonts w:hint="eastAsia" w:ascii="宋体" w:hAnsi="宋体" w:eastAsia="宋体" w:cs="宋体"/>
        </w:rPr>
      </w:pPr>
      <w:r>
        <w:rPr>
          <w:rFonts w:hint="eastAsia" w:ascii="宋体" w:hAnsi="宋体" w:eastAsia="宋体" w:cs="宋体"/>
        </w:rPr>
        <w:t>②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68EF5ACB">
      <w:pPr>
        <w:pStyle w:val="8"/>
        <w:spacing w:before="1" w:line="360" w:lineRule="auto"/>
        <w:ind w:firstLine="420" w:firstLineChars="200"/>
        <w:rPr>
          <w:rFonts w:hint="eastAsia" w:ascii="宋体" w:hAnsi="宋体" w:eastAsia="宋体" w:cs="宋体"/>
        </w:rPr>
      </w:pPr>
      <w:r>
        <w:rPr>
          <w:rFonts w:hint="eastAsia" w:ascii="宋体" w:hAnsi="宋体" w:eastAsia="宋体" w:cs="宋体"/>
        </w:rPr>
        <w:t xml:space="preserve">③应提供中文版本的审计报告或财务报表； </w:t>
      </w:r>
    </w:p>
    <w:p w14:paraId="08F7E224">
      <w:pPr>
        <w:pStyle w:val="8"/>
        <w:spacing w:before="1" w:line="360" w:lineRule="auto"/>
        <w:ind w:firstLine="420" w:firstLineChars="200"/>
        <w:rPr>
          <w:rFonts w:hint="eastAsia" w:ascii="宋体" w:hAnsi="宋体" w:eastAsia="宋体" w:cs="宋体"/>
        </w:rPr>
      </w:pPr>
      <w:r>
        <w:rPr>
          <w:rFonts w:hint="eastAsia" w:ascii="宋体" w:hAnsi="宋体" w:eastAsia="宋体" w:cs="宋体"/>
        </w:rPr>
        <w:t xml:space="preserve">④企业最近半年完税证明、信用证明材料（中国人民银行信用代码证+征信报告）； </w:t>
      </w:r>
    </w:p>
    <w:p w14:paraId="2A58C165">
      <w:pPr>
        <w:pStyle w:val="8"/>
        <w:spacing w:before="1" w:line="360" w:lineRule="auto"/>
        <w:ind w:firstLine="420" w:firstLineChars="200"/>
        <w:rPr>
          <w:rFonts w:hint="eastAsia" w:ascii="宋体" w:hAnsi="宋体" w:eastAsia="宋体" w:cs="宋体"/>
        </w:rPr>
      </w:pPr>
      <w:r>
        <w:rPr>
          <w:rFonts w:hint="eastAsia" w:ascii="宋体" w:hAnsi="宋体" w:eastAsia="宋体" w:cs="宋体"/>
        </w:rPr>
        <w:t xml:space="preserve">⑤年度纳税信用评价信息（可从电子税务局查询截图，需加盖公章）； </w:t>
      </w:r>
    </w:p>
    <w:p w14:paraId="776B1B2D">
      <w:pPr>
        <w:pStyle w:val="8"/>
        <w:spacing w:before="1" w:line="360" w:lineRule="auto"/>
        <w:ind w:firstLine="420" w:firstLineChars="200"/>
        <w:rPr>
          <w:rFonts w:hint="eastAsia" w:ascii="宋体" w:hAnsi="宋体" w:eastAsia="宋体" w:cs="宋体"/>
        </w:rPr>
      </w:pPr>
      <w:r>
        <w:rPr>
          <w:rFonts w:hint="eastAsia" w:ascii="宋体" w:hAnsi="宋体" w:eastAsia="宋体" w:cs="宋体"/>
        </w:rPr>
        <w:t>⑥企业对外担保说明（写明贵单位对外有无对外担保和质押业务，需加盖公章）；</w:t>
      </w:r>
    </w:p>
    <w:p w14:paraId="0C584E21">
      <w:pPr>
        <w:pStyle w:val="8"/>
        <w:spacing w:before="1" w:line="360" w:lineRule="auto"/>
        <w:ind w:firstLine="420" w:firstLineChars="200"/>
        <w:rPr>
          <w:rFonts w:hint="eastAsia" w:ascii="宋体" w:hAnsi="宋体" w:eastAsia="宋体" w:cs="宋体"/>
        </w:rPr>
      </w:pPr>
      <w:r>
        <w:rPr>
          <w:rFonts w:hint="eastAsia" w:ascii="宋体" w:hAnsi="宋体" w:eastAsia="宋体" w:cs="宋体"/>
        </w:rPr>
        <w:t>（4）投标人须确保具有良好的商业信誉和诚实的职业道德，在近三年内或成立以来在经营活动中无重大违法、违规的不良记录，在国家企业信用信息公示系统中无行政处罚、列入经营异常名录和列入严重违法失信企业名单（黑名单）信息或上述信息已被移除的声明；</w:t>
      </w:r>
    </w:p>
    <w:p w14:paraId="21CE92BF">
      <w:pPr>
        <w:pStyle w:val="8"/>
        <w:spacing w:before="1" w:line="360" w:lineRule="auto"/>
        <w:ind w:firstLine="420" w:firstLineChars="200"/>
        <w:rPr>
          <w:rFonts w:hint="eastAsia" w:ascii="宋体" w:hAnsi="宋体" w:eastAsia="宋体" w:cs="宋体"/>
        </w:rPr>
      </w:pPr>
      <w:r>
        <w:rPr>
          <w:rFonts w:hint="eastAsia" w:ascii="宋体" w:hAnsi="宋体" w:eastAsia="宋体" w:cs="宋体"/>
        </w:rPr>
        <w:t>（5）投标人竞价承运商应能提供其正在或曾经从事过类似相关行业产品或服务经历的从业证明（可使用正在或曾经从事过的服务合同文本原件或复印件加盖公章加以证明）；</w:t>
      </w:r>
    </w:p>
    <w:p w14:paraId="06D80925">
      <w:pPr>
        <w:pStyle w:val="8"/>
        <w:spacing w:before="1" w:line="360" w:lineRule="auto"/>
        <w:ind w:firstLine="420" w:firstLineChars="200"/>
        <w:rPr>
          <w:rFonts w:hint="eastAsia" w:ascii="宋体" w:hAnsi="宋体" w:eastAsia="宋体" w:cs="宋体"/>
        </w:rPr>
      </w:pPr>
      <w:r>
        <w:rPr>
          <w:rFonts w:hint="eastAsia" w:ascii="宋体" w:hAnsi="宋体" w:eastAsia="宋体" w:cs="宋体"/>
        </w:rPr>
        <w:t>（6）具有健全的财务会计制度，财务状况和市场行为良好。没有处于被有权机关吊销营业执照、吊销资质、停业整顿、取消投标资格以及财产被接管、冻结或进入破产程序等，资信良好；</w:t>
      </w:r>
    </w:p>
    <w:p w14:paraId="3A0F5F7D">
      <w:pPr>
        <w:pStyle w:val="8"/>
        <w:spacing w:before="1" w:line="360" w:lineRule="auto"/>
        <w:ind w:firstLine="420" w:firstLineChars="200"/>
        <w:rPr>
          <w:rFonts w:hint="eastAsia" w:ascii="宋体" w:hAnsi="宋体" w:eastAsia="宋体" w:cs="宋体"/>
        </w:rPr>
      </w:pPr>
      <w:r>
        <w:rPr>
          <w:rFonts w:hint="eastAsia" w:ascii="宋体" w:hAnsi="宋体" w:eastAsia="宋体" w:cs="宋体"/>
        </w:rPr>
        <w:t>（7）投标人在以往的招投标活动中没有违纪、违规、违约等不良行为，没有被列入相关权属公司（业务单位）处《黑名单》（《黑名单》指竞价承运商与相关权属公司（业务单位）在以往或正在进行的合作中，存在相关权属公司（业务单位）认为的违反合同约定或违反法律法规等的失信行为）的；</w:t>
      </w:r>
    </w:p>
    <w:p w14:paraId="236D4DF0">
      <w:pPr>
        <w:pStyle w:val="8"/>
        <w:spacing w:before="1" w:line="360" w:lineRule="auto"/>
        <w:ind w:firstLine="420" w:firstLineChars="200"/>
        <w:rPr>
          <w:rFonts w:hint="eastAsia" w:ascii="宋体" w:hAnsi="宋体" w:eastAsia="宋体" w:cs="宋体"/>
        </w:rPr>
      </w:pPr>
      <w:r>
        <w:rPr>
          <w:rFonts w:hint="eastAsia" w:ascii="宋体" w:hAnsi="宋体" w:eastAsia="宋体" w:cs="宋体"/>
        </w:rPr>
        <w:t>（8）投标人须提供法人授权委托书原件（在投标文件副本中可用复印件并加盖公章）及投标单位的法定代表人或授权代表的身份证原件；法人到场的，提供法定代表人身份证；</w:t>
      </w:r>
    </w:p>
    <w:p w14:paraId="11FC3565">
      <w:pPr>
        <w:pStyle w:val="8"/>
        <w:spacing w:before="1" w:line="360" w:lineRule="auto"/>
        <w:ind w:firstLine="420" w:firstLineChars="200"/>
        <w:rPr>
          <w:rFonts w:hint="eastAsia" w:ascii="宋体" w:hAnsi="宋体" w:eastAsia="宋体" w:cs="宋体"/>
        </w:rPr>
      </w:pPr>
      <w:r>
        <w:rPr>
          <w:rFonts w:hint="eastAsia" w:ascii="宋体" w:hAnsi="宋体" w:eastAsia="宋体" w:cs="宋体"/>
        </w:rPr>
        <w:t>（9）投标人须具有履行合同所必须的设备、财务、技术、服务等方面的资质和能力，并具有以投标人的名义开具正规运输业务增值税专用发票的资质（税率 9%）；</w:t>
      </w:r>
    </w:p>
    <w:p w14:paraId="1DE9C796">
      <w:pPr>
        <w:pStyle w:val="8"/>
        <w:spacing w:before="1" w:line="360" w:lineRule="auto"/>
        <w:ind w:firstLine="420" w:firstLineChars="200"/>
        <w:rPr>
          <w:rFonts w:hint="eastAsia" w:ascii="宋体" w:hAnsi="宋体" w:eastAsia="宋体" w:cs="宋体"/>
        </w:rPr>
      </w:pPr>
      <w:r>
        <w:rPr>
          <w:rFonts w:hint="eastAsia" w:ascii="宋体" w:hAnsi="宋体" w:eastAsia="宋体" w:cs="宋体"/>
        </w:rPr>
        <w:t>（10）投标人须具有完全履行招标文件的所有要求的能力；</w:t>
      </w:r>
    </w:p>
    <w:p w14:paraId="63DA33BD">
      <w:pPr>
        <w:pStyle w:val="8"/>
        <w:spacing w:before="1" w:line="360" w:lineRule="auto"/>
        <w:ind w:firstLine="420" w:firstLineChars="200"/>
        <w:rPr>
          <w:rFonts w:hint="eastAsia" w:ascii="宋体" w:hAnsi="宋体" w:eastAsia="宋体" w:cs="宋体"/>
        </w:rPr>
      </w:pPr>
      <w:r>
        <w:rPr>
          <w:rFonts w:hint="eastAsia" w:ascii="宋体" w:hAnsi="宋体" w:eastAsia="宋体" w:cs="宋体"/>
        </w:rPr>
        <w:t>（11）投标人须负责提供合理的便于运输的包装物，并承担相关费用；</w:t>
      </w:r>
    </w:p>
    <w:p w14:paraId="000E92AC">
      <w:pPr>
        <w:pStyle w:val="8"/>
        <w:spacing w:before="1" w:line="360" w:lineRule="auto"/>
        <w:ind w:firstLine="420" w:firstLineChars="200"/>
        <w:rPr>
          <w:rFonts w:hint="eastAsia" w:ascii="宋体" w:hAnsi="宋体" w:eastAsia="宋体" w:cs="宋体"/>
        </w:rPr>
      </w:pPr>
      <w:r>
        <w:rPr>
          <w:rFonts w:hint="eastAsia" w:ascii="宋体" w:hAnsi="宋体" w:eastAsia="宋体" w:cs="宋体"/>
        </w:rPr>
        <w:t>（12）投标人须认可相关权属公司（业务单位）的工作指令，包括节假日能正常开展工作的要求；</w:t>
      </w:r>
    </w:p>
    <w:p w14:paraId="348F2D12">
      <w:pPr>
        <w:pStyle w:val="8"/>
        <w:spacing w:before="1" w:line="360" w:lineRule="auto"/>
        <w:ind w:firstLine="420" w:firstLineChars="200"/>
        <w:rPr>
          <w:rFonts w:hint="eastAsia" w:ascii="宋体" w:hAnsi="宋体" w:eastAsia="宋体" w:cs="宋体"/>
        </w:rPr>
      </w:pPr>
      <w:r>
        <w:rPr>
          <w:rFonts w:hint="eastAsia" w:ascii="宋体" w:hAnsi="宋体" w:eastAsia="宋体" w:cs="宋体"/>
        </w:rPr>
        <w:t>（13）投标人须认可相关权属公司（业务单位）终止合同后 3个月无息退还履约保证金的招标要求；</w:t>
      </w:r>
    </w:p>
    <w:p w14:paraId="1113084C">
      <w:pPr>
        <w:pStyle w:val="8"/>
        <w:spacing w:before="1" w:line="360" w:lineRule="auto"/>
        <w:ind w:firstLine="420" w:firstLineChars="200"/>
        <w:rPr>
          <w:rFonts w:hint="eastAsia" w:ascii="宋体" w:hAnsi="宋体" w:eastAsia="宋体" w:cs="宋体"/>
        </w:rPr>
      </w:pPr>
      <w:r>
        <w:rPr>
          <w:rFonts w:hint="eastAsia" w:ascii="宋体" w:hAnsi="宋体" w:eastAsia="宋体" w:cs="宋体"/>
        </w:rPr>
        <w:t>（14）投标人必须是最终投标、签订合同的单位，不得以任何理由将已中标项目以任何形式转包给其他单位；</w:t>
      </w:r>
    </w:p>
    <w:p w14:paraId="47916DD6">
      <w:pPr>
        <w:pStyle w:val="8"/>
        <w:spacing w:before="1" w:line="360" w:lineRule="auto"/>
        <w:ind w:firstLine="420" w:firstLineChars="200"/>
        <w:rPr>
          <w:rFonts w:hint="eastAsia" w:ascii="宋体" w:hAnsi="宋体" w:eastAsia="宋体" w:cs="宋体"/>
        </w:rPr>
      </w:pPr>
      <w:r>
        <w:rPr>
          <w:rFonts w:hint="eastAsia" w:ascii="宋体" w:hAnsi="宋体" w:eastAsia="宋体" w:cs="宋体"/>
        </w:rPr>
        <w:t>（15）本次招标项目不接受联合体投标；</w:t>
      </w:r>
    </w:p>
    <w:p w14:paraId="202B15F6">
      <w:pPr>
        <w:pStyle w:val="8"/>
        <w:spacing w:before="1" w:line="360" w:lineRule="auto"/>
        <w:ind w:firstLine="420" w:firstLineChars="200"/>
        <w:rPr>
          <w:rFonts w:hint="eastAsia" w:ascii="宋体" w:hAnsi="宋体" w:eastAsia="宋体" w:cs="宋体"/>
        </w:rPr>
      </w:pPr>
      <w:r>
        <w:rPr>
          <w:rFonts w:hint="eastAsia" w:ascii="宋体" w:hAnsi="宋体" w:eastAsia="宋体" w:cs="宋体"/>
        </w:rPr>
        <w:t>（16）投标人需承诺严格在运输过程中对运输产品的安全及相关权属公司（业务单位）的形象负责，不做任何有损相关权属公司（业务单位）形象的事情；</w:t>
      </w:r>
    </w:p>
    <w:p w14:paraId="0C683D0C">
      <w:pPr>
        <w:pStyle w:val="8"/>
        <w:spacing w:before="1" w:line="360" w:lineRule="auto"/>
        <w:ind w:firstLine="420" w:firstLineChars="200"/>
        <w:rPr>
          <w:rFonts w:hint="eastAsia" w:ascii="宋体" w:hAnsi="宋体" w:eastAsia="宋体" w:cs="宋体"/>
        </w:rPr>
      </w:pPr>
      <w:r>
        <w:rPr>
          <w:rFonts w:hint="eastAsia" w:ascii="宋体" w:hAnsi="宋体" w:eastAsia="宋体" w:cs="宋体"/>
        </w:rPr>
        <w:t>（17）投标人须按要求缴纳投标保证金；</w:t>
      </w:r>
    </w:p>
    <w:p w14:paraId="0EC69330">
      <w:pPr>
        <w:pStyle w:val="8"/>
        <w:spacing w:before="1" w:line="360" w:lineRule="auto"/>
        <w:ind w:firstLine="420" w:firstLineChars="200"/>
        <w:rPr>
          <w:rFonts w:hint="eastAsia" w:ascii="宋体" w:hAnsi="宋体" w:eastAsia="宋体" w:cs="宋体"/>
        </w:rPr>
      </w:pPr>
      <w:r>
        <w:rPr>
          <w:rFonts w:hint="eastAsia" w:ascii="宋体" w:hAnsi="宋体" w:eastAsia="宋体" w:cs="宋体"/>
        </w:rPr>
        <w:t>（18）投标人须于招标人中标结果发出三日内与招标人指定联系人沟通合同签订事宜，二十日内完成合同签订，并应当按照合同约定的履约责任，合同签订前向相关权属公司（业务单位）缴纳履约保证金：标的额的5%，最多不超过200万元，并接受合同履行期间保证金不计利息的要求，如中标承运商未按合同及其附件约定履行应承担的责任，相关权属公司（业务单位）有权从应付中标承运商的运费中予以扣除或抵销，或从招标方所属集团公司内其他任何一家关联单位收到的中标承运商的风险抵押金或保证金中进行相应划扣，不足部分招标方有权通过其它方式向中标承运商追偿，中标承运商对此无异议；</w:t>
      </w:r>
    </w:p>
    <w:p w14:paraId="48B1B86C">
      <w:pPr>
        <w:pStyle w:val="8"/>
        <w:spacing w:before="1" w:line="360" w:lineRule="auto"/>
        <w:ind w:firstLine="420" w:firstLineChars="200"/>
        <w:rPr>
          <w:rFonts w:hint="eastAsia" w:ascii="宋体" w:hAnsi="宋体" w:eastAsia="宋体" w:cs="宋体"/>
        </w:rPr>
      </w:pPr>
      <w:r>
        <w:rPr>
          <w:rFonts w:hint="eastAsia" w:ascii="宋体" w:hAnsi="宋体" w:eastAsia="宋体" w:cs="宋体"/>
          <w:lang w:val="en-US" w:eastAsia="zh-CN"/>
        </w:rPr>
        <w:t>1.</w:t>
      </w:r>
      <w:r>
        <w:rPr>
          <w:rFonts w:hint="eastAsia" w:ascii="宋体" w:hAnsi="宋体" w:eastAsia="宋体" w:cs="宋体"/>
        </w:rPr>
        <w:t>2如出现因投标人漏报或少报而造成的一切经济后果，由投标人自行负责。</w:t>
      </w:r>
    </w:p>
    <w:p w14:paraId="4F3AD39B">
      <w:pPr>
        <w:pStyle w:val="8"/>
        <w:spacing w:before="1" w:line="360" w:lineRule="auto"/>
        <w:ind w:firstLine="422" w:firstLineChars="200"/>
        <w:rPr>
          <w:rFonts w:hint="eastAsia" w:ascii="宋体" w:hAnsi="宋体" w:eastAsia="宋体" w:cs="宋体"/>
        </w:rPr>
      </w:pPr>
      <w:r>
        <w:rPr>
          <w:rFonts w:hint="eastAsia" w:ascii="宋体" w:hAnsi="宋体" w:eastAsia="宋体" w:cs="宋体"/>
          <w:b/>
          <w:bCs/>
          <w:color w:val="FF0000"/>
          <w:lang w:val="en-US" w:eastAsia="zh-CN"/>
        </w:rPr>
        <w:t>1.</w:t>
      </w:r>
      <w:r>
        <w:rPr>
          <w:rFonts w:hint="eastAsia" w:ascii="宋体" w:hAnsi="宋体" w:eastAsia="宋体" w:cs="宋体"/>
          <w:b/>
          <w:bCs/>
          <w:color w:val="FF0000"/>
        </w:rPr>
        <w:t>3若中标人在签订合同时</w:t>
      </w:r>
      <w:r>
        <w:rPr>
          <w:rFonts w:hint="eastAsia" w:ascii="宋体" w:hAnsi="宋体" w:eastAsia="宋体" w:cs="宋体"/>
        </w:rPr>
        <w:t>，坚持提出附加条件或不合理要求的，招标人有权取消其中标资格，由此产生的该中标人损失由该中标人自负，并且招标人有权将由此产生的招标人损失（包括经济上的损失和工期上的损失）向该中标人索赔。</w:t>
      </w:r>
    </w:p>
    <w:p w14:paraId="2181490E">
      <w:pPr>
        <w:pStyle w:val="8"/>
        <w:spacing w:before="1" w:line="360" w:lineRule="auto"/>
        <w:ind w:firstLine="420" w:firstLineChars="200"/>
        <w:rPr>
          <w:rFonts w:hint="eastAsia" w:ascii="宋体" w:hAnsi="宋体" w:eastAsia="宋体" w:cs="宋体"/>
        </w:rPr>
      </w:pPr>
      <w:r>
        <w:rPr>
          <w:rFonts w:hint="eastAsia" w:ascii="宋体" w:hAnsi="宋体" w:eastAsia="宋体" w:cs="宋体"/>
          <w:lang w:val="en-US" w:eastAsia="zh-CN"/>
        </w:rPr>
        <w:t>1.4</w:t>
      </w:r>
      <w:r>
        <w:rPr>
          <w:rFonts w:hint="eastAsia" w:ascii="宋体" w:hAnsi="宋体" w:eastAsia="宋体" w:cs="宋体"/>
        </w:rPr>
        <w:t>投标人须具有独立的法人资格、良好的商业信誉、优质的服务态度和认真负责的工作作风，有应付特殊情况的反应能力，可提供365天×24小时服务，包括节假日，有专职人员负责业务联络。</w:t>
      </w:r>
    </w:p>
    <w:p w14:paraId="112B9957">
      <w:pPr>
        <w:pStyle w:val="8"/>
        <w:spacing w:before="1" w:line="360" w:lineRule="auto"/>
        <w:ind w:firstLine="420" w:firstLineChars="200"/>
        <w:rPr>
          <w:rFonts w:hint="eastAsia" w:ascii="宋体" w:hAnsi="宋体" w:eastAsia="宋体" w:cs="宋体"/>
        </w:rPr>
      </w:pPr>
      <w:r>
        <w:rPr>
          <w:rFonts w:hint="eastAsia" w:ascii="宋体" w:hAnsi="宋体" w:eastAsia="宋体" w:cs="宋体"/>
          <w:lang w:val="en-US" w:eastAsia="zh-CN"/>
        </w:rPr>
        <w:t>1.5</w:t>
      </w:r>
      <w:r>
        <w:rPr>
          <w:rFonts w:hint="eastAsia" w:ascii="宋体" w:hAnsi="宋体" w:eastAsia="宋体" w:cs="宋体"/>
        </w:rPr>
        <w:t xml:space="preserve">投标人应视需要至招标人处详细了解与本次招标项目有关的全部文件及制度，并同意运输协议中各项条款。                 </w:t>
      </w:r>
    </w:p>
    <w:p w14:paraId="7FDDB48E">
      <w:pPr>
        <w:pStyle w:val="8"/>
        <w:spacing w:before="1" w:line="360" w:lineRule="auto"/>
        <w:ind w:firstLine="420" w:firstLineChars="200"/>
        <w:rPr>
          <w:rFonts w:hint="eastAsia" w:ascii="宋体" w:hAnsi="宋体" w:eastAsia="宋体" w:cs="宋体"/>
        </w:rPr>
      </w:pPr>
      <w:r>
        <w:rPr>
          <w:rFonts w:hint="eastAsia" w:ascii="宋体" w:hAnsi="宋体" w:eastAsia="宋体" w:cs="宋体"/>
          <w:lang w:val="en-US" w:eastAsia="zh-CN"/>
        </w:rPr>
        <w:t>1.6</w:t>
      </w:r>
      <w:r>
        <w:rPr>
          <w:rFonts w:hint="eastAsia" w:ascii="宋体" w:hAnsi="宋体" w:eastAsia="宋体" w:cs="宋体"/>
        </w:rPr>
        <w:t>投标人应承担其在投标准备、编制、递交投标文件和签订合同协议的整个过程的一切费用而不论其投标结果如何。</w:t>
      </w:r>
    </w:p>
    <w:p w14:paraId="37A65B79">
      <w:pPr>
        <w:pStyle w:val="8"/>
        <w:spacing w:before="1" w:line="360" w:lineRule="auto"/>
        <w:ind w:firstLine="420" w:firstLineChars="200"/>
        <w:rPr>
          <w:rFonts w:hint="eastAsia" w:ascii="宋体" w:hAnsi="宋体" w:eastAsia="宋体" w:cs="宋体"/>
          <w:b/>
          <w:bCs/>
          <w:color w:val="FF0000"/>
        </w:rPr>
      </w:pPr>
      <w:r>
        <w:rPr>
          <w:rFonts w:hint="eastAsia" w:ascii="宋体" w:hAnsi="宋体" w:eastAsia="宋体" w:cs="宋体"/>
          <w:lang w:val="en-US" w:eastAsia="zh-CN"/>
        </w:rPr>
        <w:t>1.7</w:t>
      </w:r>
      <w:r>
        <w:rPr>
          <w:rFonts w:hint="eastAsia" w:ascii="宋体" w:hAnsi="宋体" w:eastAsia="宋体" w:cs="宋体"/>
        </w:rPr>
        <w:t>投标人须配合招标人数据要求，在合同签订后完成数据集成，数据集成对接工作和合同期内数据使用免费：发出快递后，推送快递单号、重量、体积、费用、收发人及收发人地点等运单信息；运输途中，</w:t>
      </w:r>
      <w:r>
        <w:rPr>
          <w:rFonts w:hint="eastAsia" w:ascii="宋体" w:hAnsi="宋体" w:eastAsia="宋体" w:cs="宋体"/>
          <w:b/>
          <w:bCs/>
          <w:color w:val="FF0000"/>
        </w:rPr>
        <w:t>实时推送在途节点信息，包含运单号、途径路由名称、时间、运输状态及签收状态等运输信息。</w:t>
      </w:r>
    </w:p>
    <w:p w14:paraId="45975322">
      <w:pPr>
        <w:pStyle w:val="8"/>
        <w:spacing w:before="1" w:line="360" w:lineRule="auto"/>
        <w:ind w:firstLine="420" w:firstLineChars="200"/>
        <w:rPr>
          <w:rFonts w:hint="eastAsia" w:ascii="宋体" w:hAnsi="宋体" w:eastAsia="宋体" w:cs="宋体"/>
        </w:rPr>
      </w:pPr>
      <w:r>
        <w:rPr>
          <w:rFonts w:hint="eastAsia" w:ascii="宋体" w:hAnsi="宋体" w:eastAsia="宋体" w:cs="宋体"/>
          <w:lang w:val="en-US" w:eastAsia="zh-CN"/>
        </w:rPr>
        <w:t>1.8</w:t>
      </w:r>
      <w:r>
        <w:rPr>
          <w:rFonts w:hint="eastAsia" w:ascii="宋体" w:hAnsi="宋体" w:eastAsia="宋体" w:cs="宋体"/>
        </w:rPr>
        <w:t>投标人必须携带以下证件的</w:t>
      </w:r>
      <w:r>
        <w:rPr>
          <w:rFonts w:hint="eastAsia" w:ascii="宋体" w:hAnsi="宋体" w:eastAsia="宋体" w:cs="宋体"/>
          <w:b/>
          <w:bCs/>
        </w:rPr>
        <w:t>原件</w:t>
      </w:r>
      <w:r>
        <w:rPr>
          <w:rFonts w:hint="eastAsia" w:ascii="宋体" w:hAnsi="宋体" w:eastAsia="宋体" w:cs="宋体"/>
        </w:rPr>
        <w:t>或公证件参加开标会并交验，否则视为自动放弃投标资格：</w:t>
      </w:r>
    </w:p>
    <w:p w14:paraId="595D1FB5">
      <w:pPr>
        <w:pStyle w:val="8"/>
        <w:spacing w:before="1" w:line="360" w:lineRule="auto"/>
        <w:ind w:firstLine="420" w:firstLineChars="200"/>
        <w:rPr>
          <w:rFonts w:hint="eastAsia" w:ascii="宋体" w:hAnsi="宋体" w:eastAsia="宋体" w:cs="宋体"/>
        </w:rPr>
      </w:pPr>
      <w:r>
        <w:rPr>
          <w:rFonts w:hint="eastAsia" w:ascii="宋体" w:hAnsi="宋体" w:eastAsia="宋体" w:cs="宋体"/>
        </w:rPr>
        <w:t>⑴法人授权委托书及被授权人的身份证；法人到场的，提供法定代表人资格证明文件和身份证；</w:t>
      </w:r>
    </w:p>
    <w:p w14:paraId="64965338">
      <w:pPr>
        <w:pStyle w:val="8"/>
        <w:spacing w:before="1" w:line="360" w:lineRule="auto"/>
        <w:ind w:firstLine="420" w:firstLineChars="200"/>
        <w:rPr>
          <w:rFonts w:hint="eastAsia" w:ascii="宋体" w:hAnsi="宋体" w:eastAsia="宋体" w:cs="宋体"/>
          <w:lang w:val="en-US"/>
        </w:rPr>
      </w:pPr>
      <w:r>
        <w:rPr>
          <w:rFonts w:hint="eastAsia" w:ascii="宋体" w:hAnsi="宋体" w:eastAsia="宋体" w:cs="宋体"/>
        </w:rPr>
        <w:t>⑵企业营业执照</w:t>
      </w:r>
      <w:r>
        <w:rPr>
          <w:rFonts w:hint="eastAsia" w:ascii="宋体" w:hAnsi="宋体" w:eastAsia="宋体" w:cs="宋体"/>
          <w:lang w:val="en-US"/>
        </w:rPr>
        <w:t>.</w:t>
      </w:r>
    </w:p>
    <w:p w14:paraId="76037DD5">
      <w:pPr>
        <w:pStyle w:val="8"/>
        <w:spacing w:line="360" w:lineRule="auto"/>
        <w:ind w:firstLine="422" w:firstLineChars="200"/>
        <w:rPr>
          <w:rFonts w:hint="eastAsia" w:ascii="宋体" w:hAnsi="宋体" w:eastAsia="宋体" w:cs="宋体"/>
          <w:b/>
          <w:bCs/>
        </w:rPr>
      </w:pPr>
      <w:r>
        <w:rPr>
          <w:rFonts w:hint="eastAsia" w:ascii="宋体" w:hAnsi="宋体" w:eastAsia="宋体" w:cs="宋体"/>
          <w:b/>
          <w:bCs/>
        </w:rPr>
        <w:t>逾期的投标文件招标人不予受理。</w:t>
      </w:r>
    </w:p>
    <w:p w14:paraId="3661D780">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bCs/>
          <w:sz w:val="24"/>
          <w:szCs w:val="24"/>
          <w:lang w:val="en-US" w:eastAsia="zh-CN"/>
        </w:rPr>
        <w:t>中国重汽e采通，</w:t>
      </w:r>
      <w:r>
        <w:rPr>
          <w:rFonts w:hint="eastAsia" w:asciiTheme="majorEastAsia" w:hAnsiTheme="majorEastAsia" w:eastAsiaTheme="majorEastAsia" w:cstheme="majorEastAsia"/>
          <w:sz w:val="24"/>
          <w:szCs w:val="24"/>
        </w:rPr>
        <w:t xml:space="preserve"> 在e采通应标通过后可查看招标文件。</w:t>
      </w:r>
    </w:p>
    <w:p w14:paraId="3710A1FE">
      <w:pPr>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应标</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截止时间：</w:t>
      </w:r>
      <w:r>
        <w:rPr>
          <w:rFonts w:hint="eastAsia" w:ascii="宋体" w:hAnsi="宋体" w:eastAsia="宋体" w:cs="宋体"/>
          <w:i w:val="0"/>
          <w:iCs w:val="0"/>
          <w:caps w:val="0"/>
          <w:color w:val="3D4B64"/>
          <w:spacing w:val="0"/>
          <w:sz w:val="24"/>
          <w:szCs w:val="24"/>
          <w:shd w:val="clear" w:fill="F7F7F7"/>
        </w:rPr>
        <w:t>2026-02-09 17:00:00</w:t>
      </w:r>
      <w:r>
        <w:rPr>
          <w:rFonts w:hint="eastAsia" w:asciiTheme="majorEastAsia" w:hAnsiTheme="majorEastAsia" w:eastAsiaTheme="majorEastAsia" w:cstheme="majorEastAsia"/>
          <w:sz w:val="24"/>
          <w:szCs w:val="24"/>
          <w:lang w:eastAsia="zh-CN"/>
        </w:rPr>
        <w:t xml:space="preserve"> </w:t>
      </w:r>
    </w:p>
    <w:p w14:paraId="397BE769">
      <w:pPr>
        <w:keepNext w:val="0"/>
        <w:keepLines w:val="0"/>
        <w:pageBreakBefore w:val="0"/>
        <w:widowControl w:val="0"/>
        <w:kinsoku/>
        <w:wordWrap/>
        <w:overflowPunct/>
        <w:topLinePunct w:val="0"/>
        <w:autoSpaceDE/>
        <w:autoSpaceDN/>
        <w:bidi w:val="0"/>
        <w:adjustRightInd/>
        <w:snapToGrid w:val="0"/>
        <w:ind w:firstLine="482" w:firstLineChars="200"/>
        <w:textAlignment w:val="auto"/>
        <w:rPr>
          <w:rFonts w:hint="eastAsia" w:ascii="宋体" w:hAnsi="宋体" w:cs="仿宋"/>
          <w:bCs/>
          <w:sz w:val="21"/>
          <w:szCs w:val="21"/>
          <w:highlight w:val="none"/>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b/>
          <w:bCs/>
          <w:sz w:val="24"/>
          <w:szCs w:val="24"/>
          <w:lang w:val="en-US" w:eastAsia="zh-CN"/>
        </w:rPr>
        <w:t>中国重汽e采通</w:t>
      </w:r>
      <w:r>
        <w:rPr>
          <w:rFonts w:hint="eastAsia" w:ascii="宋体" w:hAnsi="宋体" w:cs="仿宋"/>
          <w:bCs/>
          <w:sz w:val="21"/>
          <w:szCs w:val="21"/>
          <w:highlight w:val="none"/>
          <w:lang w:val="en-US" w:eastAsia="zh-CN"/>
        </w:rPr>
        <w:t>。</w:t>
      </w:r>
    </w:p>
    <w:p w14:paraId="2D1EBA84">
      <w:pPr>
        <w:keepNext w:val="0"/>
        <w:keepLines w:val="0"/>
        <w:pageBreakBefore w:val="0"/>
        <w:widowControl w:val="0"/>
        <w:kinsoku/>
        <w:wordWrap/>
        <w:overflowPunct/>
        <w:topLinePunct w:val="0"/>
        <w:autoSpaceDE/>
        <w:autoSpaceDN/>
        <w:bidi w:val="0"/>
        <w:adjustRightInd/>
        <w:snapToGrid w:val="0"/>
        <w:ind w:firstLine="482" w:firstLineChars="200"/>
        <w:textAlignment w:val="auto"/>
        <w:rPr>
          <w:rFonts w:hint="eastAsia" w:asciiTheme="majorEastAsia" w:hAnsiTheme="majorEastAsia" w:eastAsiaTheme="majorEastAsia" w:cstheme="majorEastAsia"/>
          <w:b/>
          <w:bCs/>
          <w:caps w:val="0"/>
          <w:kern w:val="2"/>
          <w:sz w:val="24"/>
          <w:szCs w:val="24"/>
          <w:lang w:val="en-US" w:eastAsia="zh-CN" w:bidi="ar-SA"/>
        </w:rPr>
      </w:pPr>
      <w:r>
        <w:rPr>
          <w:rFonts w:hint="eastAsia" w:asciiTheme="majorEastAsia" w:hAnsiTheme="majorEastAsia" w:eastAsiaTheme="majorEastAsia" w:cstheme="majorEastAsia"/>
          <w:b/>
          <w:bCs/>
          <w:caps w:val="0"/>
          <w:kern w:val="2"/>
          <w:sz w:val="24"/>
          <w:szCs w:val="24"/>
          <w:lang w:val="en-US" w:eastAsia="zh-CN" w:bidi="ar-SA"/>
        </w:rPr>
        <w:t>4.应标资料要求：</w:t>
      </w:r>
    </w:p>
    <w:p w14:paraId="35E9F76E">
      <w:pPr>
        <w:widowControl/>
        <w:spacing w:line="360" w:lineRule="auto"/>
        <w:ind w:firstLine="480" w:firstLineChars="200"/>
        <w:rPr>
          <w:rFonts w:ascii="宋体" w:cs="宋体"/>
          <w:sz w:val="24"/>
          <w:lang w:bidi="ar"/>
        </w:rPr>
      </w:pPr>
      <w:r>
        <w:rPr>
          <w:rFonts w:hint="eastAsia" w:ascii="宋体" w:cs="宋体"/>
          <w:sz w:val="24"/>
          <w:lang w:bidi="ar"/>
        </w:rPr>
        <w:t>凡有意参加投标者，请于</w:t>
      </w:r>
      <w:r>
        <w:rPr>
          <w:rFonts w:hint="eastAsia" w:ascii="宋体" w:cs="宋体"/>
          <w:sz w:val="24"/>
          <w:lang w:val="en-US" w:eastAsia="zh-CN" w:bidi="ar"/>
        </w:rPr>
        <w:t>应标截止时间前</w:t>
      </w:r>
      <w:r>
        <w:rPr>
          <w:rFonts w:hint="eastAsia" w:ascii="宋体" w:hAnsi="宋体" w:cs="宋体"/>
          <w:kern w:val="0"/>
          <w:sz w:val="24"/>
          <w:lang w:bidi="en-US"/>
        </w:rPr>
        <w:t>，</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r>
        <w:rPr>
          <w:rFonts w:hint="eastAsia" w:ascii="宋体" w:cs="宋体"/>
          <w:b/>
          <w:bCs/>
          <w:sz w:val="24"/>
          <w:lang w:bidi="ar"/>
        </w:rPr>
        <w:t>所有文件要求字体向上，不允许横向扫描</w:t>
      </w:r>
      <w:r>
        <w:rPr>
          <w:rFonts w:hint="eastAsia" w:ascii="宋体" w:cs="宋体"/>
          <w:sz w:val="24"/>
          <w:lang w:bidi="ar"/>
        </w:rPr>
        <w:t>）</w:t>
      </w:r>
    </w:p>
    <w:p w14:paraId="654CDF49">
      <w:pPr>
        <w:pStyle w:val="18"/>
        <w:spacing w:line="360" w:lineRule="auto"/>
        <w:ind w:left="0" w:leftChars="0" w:firstLine="420" w:firstLineChars="0"/>
        <w:rPr>
          <w:rFonts w:ascii="宋体" w:cs="宋体"/>
          <w:sz w:val="24"/>
          <w:lang w:bidi="ar"/>
        </w:rPr>
      </w:pPr>
      <w:r>
        <w:rPr>
          <w:rFonts w:hint="eastAsia" w:ascii="宋体" w:cs="宋体"/>
          <w:sz w:val="24"/>
          <w:lang w:bidi="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76ECC489">
      <w:pPr>
        <w:widowControl/>
        <w:spacing w:line="360" w:lineRule="auto"/>
        <w:ind w:firstLine="482" w:firstLineChars="200"/>
        <w:rPr>
          <w:rFonts w:hint="eastAsia" w:ascii="宋体" w:cs="宋体"/>
          <w:b/>
          <w:bCs/>
          <w:color w:val="FF0000"/>
          <w:sz w:val="24"/>
          <w:lang w:bidi="ar"/>
        </w:rPr>
      </w:pPr>
      <w:r>
        <w:rPr>
          <w:rFonts w:hint="eastAsia" w:ascii="宋体" w:cs="宋体"/>
          <w:b/>
          <w:bCs/>
          <w:color w:val="FF0000"/>
          <w:sz w:val="24"/>
          <w:lang w:bidi="ar"/>
        </w:rPr>
        <w:t>报名时提供的资料不合格的会在系统被驳回，请及时及时查阅并补齐资料，不能按时补充资料的视为自动放弃本次投标。</w:t>
      </w:r>
    </w:p>
    <w:p w14:paraId="5A9265FE">
      <w:pPr>
        <w:widowControl/>
        <w:spacing w:line="360" w:lineRule="auto"/>
        <w:ind w:firstLine="482" w:firstLineChars="200"/>
        <w:rPr>
          <w:rFonts w:hint="eastAsia" w:ascii="宋体" w:cs="宋体"/>
          <w:b/>
          <w:bCs/>
          <w:color w:val="FF0000"/>
          <w:sz w:val="24"/>
          <w:lang w:bidi="ar"/>
        </w:rPr>
      </w:pPr>
      <w:r>
        <w:rPr>
          <w:rFonts w:hint="eastAsia" w:ascii="宋体" w:cs="宋体"/>
          <w:b/>
          <w:bCs/>
          <w:color w:val="FF0000"/>
          <w:sz w:val="24"/>
          <w:lang w:bidi="ar"/>
        </w:rPr>
        <w:t>请投标人确认中国重汽e采通系统中供应商信息完整、准确，因供应商信息不全</w:t>
      </w:r>
      <w:r>
        <w:rPr>
          <w:rFonts w:hint="eastAsia" w:ascii="宋体" w:cs="宋体"/>
          <w:b/>
          <w:bCs/>
          <w:color w:val="FF0000"/>
          <w:sz w:val="24"/>
          <w:lang w:bidi="ar"/>
        </w:rPr>
        <w:t>或错误导致的报名不成功，由投标人自行承担。</w:t>
      </w:r>
    </w:p>
    <w:p w14:paraId="518EE574">
      <w:pPr>
        <w:widowControl/>
        <w:spacing w:line="360" w:lineRule="auto"/>
        <w:ind w:firstLine="482" w:firstLineChars="200"/>
        <w:rPr>
          <w:rFonts w:hint="default" w:ascii="宋体" w:cs="宋体"/>
          <w:b/>
          <w:bCs/>
          <w:color w:val="FF0000"/>
          <w:sz w:val="24"/>
          <w:highlight w:val="yellow"/>
          <w:lang w:val="en-US" w:eastAsia="zh-CN" w:bidi="ar"/>
        </w:rPr>
      </w:pPr>
      <w:r>
        <w:rPr>
          <w:rFonts w:hint="eastAsia" w:ascii="宋体" w:cs="宋体"/>
          <w:b/>
          <w:bCs/>
          <w:color w:val="FF0000"/>
          <w:sz w:val="24"/>
          <w:highlight w:val="yellow"/>
          <w:lang w:bidi="ar"/>
        </w:rPr>
        <w:t>本次招标执行分包分中的原则，投标方须对每个包次进行单独</w:t>
      </w:r>
      <w:r>
        <w:rPr>
          <w:rFonts w:hint="eastAsia" w:ascii="宋体" w:cs="宋体"/>
          <w:b/>
          <w:bCs/>
          <w:color w:val="FF0000"/>
          <w:sz w:val="24"/>
          <w:highlight w:val="yellow"/>
          <w:lang w:val="en-US" w:eastAsia="zh-CN" w:bidi="ar"/>
        </w:rPr>
        <w:t>报名、</w:t>
      </w:r>
      <w:r>
        <w:rPr>
          <w:rFonts w:hint="eastAsia" w:ascii="宋体" w:cs="宋体"/>
          <w:b/>
          <w:bCs/>
          <w:color w:val="FF0000"/>
          <w:sz w:val="24"/>
          <w:highlight w:val="yellow"/>
          <w:lang w:bidi="ar"/>
        </w:rPr>
        <w:t>报价，且每包次内所含的全部项目线路、业务内容及对应价格均须完整填报。未按要求对任一包次或其包内项目要素（线路/业务/价格）进行报价的，视为无效投标。</w:t>
      </w:r>
    </w:p>
    <w:p w14:paraId="768E7FB9">
      <w:pPr>
        <w:pStyle w:val="6"/>
        <w:rPr>
          <w:rFonts w:hint="eastAsia"/>
          <w:highlight w:val="yellow"/>
        </w:rPr>
      </w:pPr>
      <w:r>
        <w:rPr>
          <w:rFonts w:hint="eastAsia"/>
          <w:highlight w:val="yellow"/>
        </w:rPr>
        <w:t>资质文件组成</w:t>
      </w:r>
    </w:p>
    <w:p w14:paraId="26A224FA">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（1）有统一社会信用代码的新版营业执照复印件，并加盖公章；</w:t>
      </w:r>
    </w:p>
    <w:p w14:paraId="56D03E86">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（2）法定代表人授权书；法定代表人参加投标的，需提供法人身份证复印件；委托授权人参加投标的，需提供法定代表人授权委托书、法定代表人身份证复印件、被授权人身份证复印件；</w:t>
      </w:r>
    </w:p>
    <w:p w14:paraId="666DD635">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（3）《道路运输经营许可证》原件及复印件(加盖公章)，并保证行政许可在有效期内；</w:t>
      </w:r>
    </w:p>
    <w:p w14:paraId="074BE396">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4）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4AEA3E4A">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 xml:space="preserve">（5）应提供中文版本的审计报告或财务报表； </w:t>
      </w:r>
    </w:p>
    <w:p w14:paraId="15556565">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 xml:space="preserve">（6）企业最近半年完税证明、信用证明材料（中国人民银行信用代码证+征信报告）； </w:t>
      </w:r>
    </w:p>
    <w:p w14:paraId="07B90EE1">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 xml:space="preserve">（7）年度纳税信用评价信息（可从电子税务局查询截图，需加盖公章）； </w:t>
      </w:r>
    </w:p>
    <w:p w14:paraId="72622293">
      <w:pPr>
        <w:pStyle w:val="8"/>
        <w:spacing w:line="360" w:lineRule="auto"/>
        <w:ind w:firstLine="420" w:firstLineChars="200"/>
        <w:rPr>
          <w:rFonts w:hint="eastAsia" w:ascii="宋体" w:hAnsi="宋体" w:eastAsia="宋体" w:cs="宋体"/>
          <w:b w:val="0"/>
          <w:bCs w:val="0"/>
          <w:lang w:val="en-US" w:eastAsia="zh-CN"/>
        </w:rPr>
      </w:pPr>
      <w:r>
        <w:rPr>
          <w:rFonts w:hint="eastAsia" w:ascii="宋体" w:hAnsi="宋体" w:eastAsia="宋体" w:cs="宋体"/>
          <w:b w:val="0"/>
          <w:bCs w:val="0"/>
          <w:lang w:val="en-US" w:eastAsia="zh-CN"/>
        </w:rPr>
        <w:t>（8）企业对外担保说明（写明贵单位对外有无对外担保和质押业务，需加盖公章）</w:t>
      </w:r>
    </w:p>
    <w:p w14:paraId="4DE27BAF">
      <w:pPr>
        <w:pStyle w:val="8"/>
        <w:spacing w:line="360" w:lineRule="auto"/>
        <w:ind w:firstLine="420" w:firstLineChars="200"/>
        <w:rPr>
          <w:rFonts w:hint="eastAsia" w:ascii="宋体" w:cs="宋体"/>
          <w:b/>
          <w:bCs/>
          <w:kern w:val="0"/>
          <w:sz w:val="24"/>
          <w:highlight w:val="yellow"/>
          <w:u w:val="single"/>
          <w:lang w:bidi="en-US"/>
        </w:rPr>
      </w:pPr>
      <w:r>
        <w:rPr>
          <w:rFonts w:hint="eastAsia" w:ascii="宋体" w:hAnsi="宋体" w:eastAsia="宋体" w:cs="宋体"/>
          <w:b w:val="0"/>
          <w:bCs w:val="0"/>
          <w:lang w:val="en-US" w:eastAsia="zh-CN"/>
        </w:rPr>
        <w:t>（9）</w:t>
      </w:r>
      <w:r>
        <w:rPr>
          <w:rFonts w:hint="eastAsia"/>
          <w:kern w:val="0"/>
          <w:sz w:val="24"/>
          <w:szCs w:val="21"/>
          <w:highlight w:val="yellow"/>
          <w:lang w:bidi="en-US"/>
        </w:rPr>
        <w:t>联系人、联系方式、电子邮箱。</w:t>
      </w:r>
    </w:p>
    <w:p w14:paraId="74B8071D">
      <w:pPr>
        <w:adjustRightInd w:val="0"/>
        <w:snapToGrid w:val="0"/>
        <w:spacing w:line="360" w:lineRule="auto"/>
        <w:ind w:firstLine="482" w:firstLineChars="200"/>
        <w:rPr>
          <w:rFonts w:hint="eastAsia" w:ascii="宋体" w:cs="宋体"/>
          <w:b/>
          <w:bCs/>
          <w:sz w:val="24"/>
          <w:highlight w:val="none"/>
        </w:rPr>
      </w:pPr>
      <w:r>
        <w:rPr>
          <w:rFonts w:hint="eastAsia" w:ascii="宋体" w:cs="宋体"/>
          <w:b/>
          <w:bCs/>
          <w:kern w:val="0"/>
          <w:sz w:val="24"/>
          <w:highlight w:val="none"/>
          <w:u w:val="single"/>
          <w:lang w:bidi="en-US"/>
        </w:rPr>
        <w:t>以上报名资料均要加盖公章。</w:t>
      </w:r>
    </w:p>
    <w:p w14:paraId="154923CA">
      <w:pPr>
        <w:spacing w:line="360" w:lineRule="auto"/>
        <w:ind w:firstLine="482" w:firstLineChars="200"/>
        <w:jc w:val="left"/>
        <w:rPr>
          <w:rStyle w:val="27"/>
          <w:color w:val="C00000"/>
          <w:lang w:bidi="ar"/>
        </w:rPr>
      </w:pPr>
      <w:r>
        <w:rPr>
          <w:rFonts w:hint="eastAsia" w:ascii="宋体" w:cs="宋体"/>
          <w:b/>
          <w:bCs/>
          <w:sz w:val="24"/>
          <w:lang w:bidi="ar"/>
        </w:rPr>
        <w:t>报名同时请按照本公告附件《非生产供应</w:t>
      </w:r>
      <w:r>
        <w:rPr>
          <w:rFonts w:hint="eastAsia" w:ascii="宋体" w:cs="宋体"/>
          <w:b/>
          <w:bCs/>
          <w:sz w:val="24"/>
          <w:highlight w:val="none"/>
          <w:lang w:bidi="ar"/>
        </w:rPr>
        <w:t>商注册操作手册》及e采通首页《供应商用户手册》提示完成平台注册（网址：</w:t>
      </w:r>
      <w:r>
        <w:rPr>
          <w:sz w:val="24"/>
          <w:highlight w:val="none"/>
        </w:rPr>
        <w:t>http</w:t>
      </w:r>
      <w:r>
        <w:rPr>
          <w:rFonts w:hint="eastAsia"/>
          <w:sz w:val="24"/>
          <w:highlight w:val="none"/>
        </w:rPr>
        <w:t>s</w:t>
      </w:r>
      <w:r>
        <w:rPr>
          <w:sz w:val="24"/>
          <w:highlight w:val="none"/>
        </w:rPr>
        <w:t>://ecaitong.sinotruk.com:8012/#/login），注册时，</w:t>
      </w:r>
      <w:r>
        <w:rPr>
          <w:rFonts w:hint="eastAsia"/>
          <w:sz w:val="24"/>
          <w:highlight w:val="none"/>
        </w:rPr>
        <w:t>供应商属性选择【非生产】、管理单位选择【直管单位】、意向配套单位选择【直管单位】；采购形式编号见本公告标题下方；经营概况“是否提供”原则上选择【能提供】，近三年财务数据</w:t>
      </w:r>
      <w:r>
        <w:rPr>
          <w:sz w:val="24"/>
          <w:highlight w:val="none"/>
        </w:rPr>
        <w:t>为必填项，要求如实填写</w:t>
      </w:r>
      <w:r>
        <w:rPr>
          <w:rFonts w:hint="eastAsia"/>
          <w:sz w:val="24"/>
          <w:highlight w:val="none"/>
        </w:rPr>
        <w:t>；配套能力的</w:t>
      </w:r>
      <w:r>
        <w:rPr>
          <w:sz w:val="24"/>
          <w:highlight w:val="none"/>
        </w:rPr>
        <w:t>供货类别选择“</w:t>
      </w:r>
      <w:r>
        <w:rPr>
          <w:rFonts w:hint="eastAsia"/>
          <w:sz w:val="24"/>
          <w:highlight w:val="none"/>
        </w:rPr>
        <w:t>直管单位非生产招标 / 服务 / 物流运输（车辆租赁）</w:t>
      </w:r>
      <w:r>
        <w:rPr>
          <w:sz w:val="24"/>
          <w:highlight w:val="none"/>
        </w:rPr>
        <w:t>”；账号信息</w:t>
      </w:r>
      <w:r>
        <w:rPr>
          <w:b/>
          <w:bCs/>
          <w:sz w:val="24"/>
          <w:highlight w:val="none"/>
          <w:em w:val="dot"/>
        </w:rPr>
        <w:t>不允许有任何空格</w:t>
      </w:r>
      <w:r>
        <w:rPr>
          <w:sz w:val="24"/>
          <w:highlight w:val="none"/>
        </w:rPr>
        <w:t>且</w:t>
      </w:r>
      <w:r>
        <w:rPr>
          <w:b/>
          <w:bCs/>
          <w:sz w:val="24"/>
          <w:highlight w:val="none"/>
          <w:em w:val="dot"/>
        </w:rPr>
        <w:t>必须填写对公账号</w:t>
      </w:r>
      <w:r>
        <w:rPr>
          <w:sz w:val="24"/>
          <w:highlight w:val="none"/>
        </w:rPr>
        <w:t>（不按要求填写的将影响投标保证金退还）。</w:t>
      </w:r>
    </w:p>
    <w:p w14:paraId="572395DB">
      <w:pPr>
        <w:spacing w:line="360" w:lineRule="auto"/>
        <w:ind w:firstLine="482" w:firstLineChars="200"/>
        <w:jc w:val="left"/>
        <w:rPr>
          <w:rFonts w:hint="eastAsia" w:ascii="宋体" w:cs="宋体"/>
          <w:b/>
          <w:bCs/>
          <w:sz w:val="24"/>
          <w:highlight w:val="none"/>
          <w:lang w:bidi="ar"/>
        </w:rPr>
      </w:pPr>
      <w:r>
        <w:rPr>
          <w:rFonts w:hint="eastAsia" w:ascii="宋体" w:cs="宋体"/>
          <w:b/>
          <w:bCs/>
          <w:sz w:val="24"/>
          <w:highlight w:val="none"/>
          <w:lang w:bidi="ar"/>
        </w:rPr>
        <w:t>e采通注册并</w:t>
      </w:r>
      <w:r>
        <w:rPr>
          <w:rFonts w:hint="eastAsia" w:ascii="宋体" w:cs="宋体"/>
          <w:b/>
          <w:bCs/>
          <w:sz w:val="24"/>
          <w:highlight w:val="none"/>
          <w:em w:val="dot"/>
          <w:lang w:bidi="ar"/>
        </w:rPr>
        <w:t>审核通过后</w:t>
      </w:r>
      <w:r>
        <w:rPr>
          <w:rFonts w:hint="eastAsia" w:ascii="宋体" w:cs="宋体"/>
          <w:b/>
          <w:bCs/>
          <w:sz w:val="24"/>
          <w:highlight w:val="none"/>
          <w:lang w:bidi="ar"/>
        </w:rPr>
        <w:t>方能参与本项目应标及后续投标，审核通过后请电话告知招标方联系人。</w:t>
      </w:r>
    </w:p>
    <w:p w14:paraId="41B07B8F">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.2招标文件获取：</w:t>
      </w:r>
      <w:r>
        <w:rPr>
          <w:rFonts w:hint="eastAsia" w:ascii="宋体" w:hAnsi="宋体" w:cs="宋体"/>
          <w:kern w:val="0"/>
          <w:sz w:val="24"/>
          <w:lang w:val="en-US" w:eastAsia="zh-CN" w:bidi="en-US"/>
        </w:rPr>
        <w:t>上述资格预审</w:t>
      </w:r>
      <w:r>
        <w:rPr>
          <w:rFonts w:hint="eastAsia" w:ascii="宋体" w:hAnsi="宋体" w:cs="宋体"/>
          <w:kern w:val="0"/>
          <w:sz w:val="24"/>
          <w:lang w:bidi="en-US"/>
        </w:rPr>
        <w:t>入围者通过重汽e采通平台接收电子版招标文件。</w:t>
      </w:r>
    </w:p>
    <w:p w14:paraId="578A36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.3招标文件工本费：无。</w:t>
      </w:r>
    </w:p>
    <w:p w14:paraId="5DBF76C1">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.4投标保证金金额、形式和递交：详见招标文件。</w:t>
      </w:r>
    </w:p>
    <w:p w14:paraId="12D43942">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5</w:t>
      </w:r>
      <w:r>
        <w:rPr>
          <w:rFonts w:hint="eastAsia" w:ascii="宋体" w:hAnsi="宋体" w:cs="宋体"/>
          <w:kern w:val="0"/>
          <w:sz w:val="24"/>
          <w:lang w:bidi="en-US"/>
        </w:rPr>
        <w:t>.5中标服务费：无。</w:t>
      </w:r>
    </w:p>
    <w:p w14:paraId="61DEC8C1">
      <w:pPr>
        <w:rPr>
          <w:rFonts w:hint="default"/>
          <w:lang w:val="en-US" w:eastAsia="zh-CN"/>
        </w:rPr>
      </w:pP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lang w:val="en-US" w:eastAsia="zh-CN"/>
        </w:rPr>
        <w:t>投标文件</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 xml:space="preserve">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b/>
          <w:bCs/>
          <w:sz w:val="24"/>
          <w:szCs w:val="24"/>
          <w:lang w:val="en-US" w:eastAsia="zh-CN"/>
        </w:rPr>
        <w:t>纸质版线下开标时提交，电子版需在递交截止时间前上传至中国重汽e采通系统。</w:t>
      </w:r>
      <w:r>
        <w:rPr>
          <w:rFonts w:hint="eastAsia" w:asciiTheme="majorEastAsia" w:hAnsiTheme="majorEastAsia" w:eastAsiaTheme="majorEastAsia" w:cstheme="majorEastAsia"/>
          <w:sz w:val="24"/>
          <w:szCs w:val="24"/>
        </w:rPr>
        <w:t xml:space="preserve"> </w:t>
      </w:r>
    </w:p>
    <w:p w14:paraId="1BF7EE7E">
      <w:pPr>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2026-02-</w:t>
      </w:r>
      <w:r>
        <w:rPr>
          <w:rFonts w:hint="eastAsia" w:asciiTheme="majorEastAsia" w:hAnsiTheme="majorEastAsia" w:eastAsiaTheme="majorEastAsia" w:cstheme="majorEastAsia"/>
          <w:sz w:val="24"/>
          <w:szCs w:val="24"/>
          <w:lang w:val="en-US" w:eastAsia="zh-CN"/>
        </w:rPr>
        <w:t>25</w:t>
      </w:r>
      <w:r>
        <w:rPr>
          <w:rFonts w:hint="eastAsia" w:asciiTheme="majorEastAsia" w:hAnsiTheme="majorEastAsia" w:eastAsiaTheme="majorEastAsia" w:cstheme="majorEastAsia"/>
          <w:sz w:val="24"/>
          <w:szCs w:val="24"/>
        </w:rPr>
        <w:t xml:space="preserve"> 09:00:00</w:t>
      </w:r>
      <w:r>
        <w:rPr>
          <w:rFonts w:hint="eastAsia" w:asciiTheme="majorEastAsia" w:hAnsiTheme="majorEastAsia" w:eastAsiaTheme="majorEastAsia" w:cstheme="majorEastAsia"/>
          <w:sz w:val="24"/>
          <w:szCs w:val="24"/>
          <w:lang w:val="en-US" w:eastAsia="zh-CN"/>
        </w:rPr>
        <w:t xml:space="preserve"> </w:t>
      </w:r>
    </w:p>
    <w:p w14:paraId="1D0C1D3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t xml:space="preserve">山东省济南市历城区华奥路777号重汽科技大厦 </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28F6200F">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1、开标时间：2026-02-25 09:00:00</w:t>
      </w:r>
    </w:p>
    <w:p w14:paraId="2A04B78D">
      <w:pPr>
        <w:ind w:firstLine="480" w:firstLineChars="200"/>
        <w:rPr>
          <w:rFonts w:hint="eastAsia"/>
        </w:rPr>
      </w:pPr>
      <w:r>
        <w:rPr>
          <w:rFonts w:hint="eastAsia" w:asciiTheme="majorEastAsia" w:hAnsiTheme="majorEastAsia" w:eastAsiaTheme="majorEastAsia" w:cstheme="majorEastAsia"/>
          <w:sz w:val="24"/>
          <w:szCs w:val="24"/>
          <w:lang w:val="en-US" w:eastAsia="zh-CN"/>
        </w:rPr>
        <w:t>2、开标地点：济南市高新区华奥路777号重汽科技大厦</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213CECB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本次公告同时在山东省阳光采购服务平台</w:t>
      </w:r>
      <w:r>
        <w:rPr>
          <w:rFonts w:hint="eastAsia" w:ascii="宋体" w:hAnsi="宋体" w:cs="宋体"/>
          <w:kern w:val="0"/>
          <w:sz w:val="24"/>
          <w:lang w:eastAsia="zh-CN" w:bidi="en-US"/>
        </w:rPr>
        <w:t>（供应商需同时在阳光采购平台进行注册，并在本公告要求的截止时间前搜索本项目报名）</w:t>
      </w:r>
      <w:r>
        <w:rPr>
          <w:rFonts w:hint="eastAsia" w:ascii="宋体" w:hAnsi="宋体" w:cs="宋体"/>
          <w:kern w:val="0"/>
          <w:sz w:val="24"/>
          <w:lang w:bidi="en-US"/>
        </w:rPr>
        <w:t>、中国招标投标公共服务平台及中国重型汽车集团有限公司网站上发布。</w:t>
      </w:r>
    </w:p>
    <w:p w14:paraId="390E6A48">
      <w:pPr>
        <w:rPr>
          <w:rFonts w:hint="default" w:asciiTheme="majorEastAsia" w:hAnsiTheme="majorEastAsia" w:eastAsiaTheme="majorEastAsia" w:cstheme="majorEastAsia"/>
          <w:sz w:val="24"/>
          <w:szCs w:val="24"/>
          <w:highlight w:val="yellow"/>
          <w:lang w:val="en-US" w:eastAsia="zh-CN"/>
        </w:rPr>
      </w:pPr>
    </w:p>
    <w:p w14:paraId="353AB26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58636FCA">
      <w:pPr>
        <w:widowControl/>
        <w:spacing w:line="500" w:lineRule="exact"/>
        <w:ind w:firstLine="480" w:firstLineChars="200"/>
        <w:jc w:val="left"/>
        <w:rPr>
          <w:rFonts w:hint="default" w:ascii="宋体" w:hAnsi="宋体" w:cs="宋体" w:eastAsiaTheme="minorEastAsia"/>
          <w:kern w:val="0"/>
          <w:sz w:val="24"/>
          <w:lang w:val="en-US" w:eastAsia="zh-CN" w:bidi="en-US"/>
        </w:rPr>
      </w:pPr>
      <w:r>
        <w:rPr>
          <w:rFonts w:hint="eastAsia" w:ascii="宋体" w:hAnsi="宋体" w:cs="宋体"/>
          <w:kern w:val="0"/>
          <w:sz w:val="24"/>
          <w:lang w:bidi="en-US"/>
        </w:rPr>
        <w:t>招 标 人：中国</w:t>
      </w:r>
      <w:r>
        <w:rPr>
          <w:rFonts w:hint="eastAsia" w:ascii="宋体" w:hAnsi="宋体" w:cs="宋体"/>
          <w:kern w:val="0"/>
          <w:sz w:val="24"/>
          <w:lang w:val="en-US" w:eastAsia="zh-CN" w:bidi="en-US"/>
        </w:rPr>
        <w:t>重型汽车集团有限公司</w:t>
      </w:r>
      <w:r>
        <w:t>重汽</w:t>
      </w:r>
      <w:r>
        <w:rPr>
          <w:rFonts w:hint="eastAsia"/>
        </w:rPr>
        <w:t>（</w:t>
      </w:r>
      <w:r>
        <w:rPr>
          <w:rFonts w:hint="eastAsia"/>
          <w:lang w:val="en-US"/>
        </w:rPr>
        <w:t>济南</w:t>
      </w:r>
      <w:r>
        <w:rPr>
          <w:rFonts w:hint="eastAsia"/>
        </w:rPr>
        <w:t>）</w:t>
      </w:r>
      <w:r>
        <w:rPr>
          <w:rFonts w:hint="eastAsia"/>
          <w:lang w:val="en-US"/>
        </w:rPr>
        <w:t>后市场智慧服务有限</w:t>
      </w:r>
      <w:r>
        <w:t>公司</w:t>
      </w:r>
    </w:p>
    <w:p w14:paraId="435DA42A">
      <w:pPr>
        <w:widowControl/>
        <w:spacing w:line="500" w:lineRule="exact"/>
        <w:ind w:firstLine="480" w:firstLineChars="200"/>
        <w:jc w:val="left"/>
        <w:rPr>
          <w:rFonts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121C746D">
      <w:pPr>
        <w:widowControl/>
        <w:spacing w:line="500" w:lineRule="exact"/>
        <w:ind w:firstLine="480" w:firstLineChars="200"/>
        <w:jc w:val="left"/>
        <w:rPr>
          <w:rFonts w:hint="default" w:ascii="宋体" w:hAnsi="宋体" w:eastAsia="宋体" w:cs="宋体"/>
          <w:kern w:val="0"/>
          <w:sz w:val="24"/>
          <w:highlight w:val="none"/>
          <w:lang w:val="en-US" w:eastAsia="zh-CN" w:bidi="en-US"/>
        </w:rPr>
      </w:pPr>
      <w:r>
        <w:rPr>
          <w:rFonts w:hint="eastAsia" w:ascii="宋体" w:hAnsi="宋体" w:cs="宋体"/>
          <w:kern w:val="0"/>
          <w:sz w:val="24"/>
          <w:highlight w:val="none"/>
          <w:lang w:bidi="en-US"/>
        </w:rPr>
        <w:t>联系人</w:t>
      </w:r>
      <w:r>
        <w:rPr>
          <w:rFonts w:hint="eastAsia" w:ascii="宋体" w:hAnsi="宋体" w:cs="宋体"/>
          <w:kern w:val="0"/>
          <w:sz w:val="24"/>
          <w:highlight w:val="none"/>
          <w:lang w:eastAsia="zh-CN" w:bidi="en-US"/>
        </w:rPr>
        <w:t>、</w:t>
      </w:r>
      <w:r>
        <w:rPr>
          <w:rFonts w:hint="eastAsia" w:ascii="宋体" w:hAnsi="宋体" w:cs="宋体"/>
          <w:kern w:val="0"/>
          <w:sz w:val="24"/>
          <w:highlight w:val="none"/>
          <w:lang w:val="en-US" w:eastAsia="zh-CN" w:bidi="en-US"/>
        </w:rPr>
        <w:t>联系电话</w:t>
      </w:r>
      <w:r>
        <w:rPr>
          <w:rFonts w:hint="eastAsia" w:ascii="宋体" w:hAnsi="宋体" w:cs="宋体"/>
          <w:kern w:val="0"/>
          <w:sz w:val="24"/>
          <w:highlight w:val="none"/>
          <w:lang w:bidi="en-US"/>
        </w:rPr>
        <w:t>：</w:t>
      </w:r>
      <w:r>
        <w:rPr>
          <w:rFonts w:hint="eastAsia" w:ascii="宋体" w:hAnsi="宋体" w:eastAsia="宋体" w:cs="宋体"/>
          <w:kern w:val="0"/>
          <w:sz w:val="24"/>
          <w:highlight w:val="none"/>
          <w:lang w:val="en-US" w:eastAsia="zh-CN" w:bidi="en-US"/>
        </w:rPr>
        <w:t>许老师 17860604079</w:t>
      </w:r>
    </w:p>
    <w:p w14:paraId="56083C37">
      <w:pPr>
        <w:ind w:firstLine="480"/>
        <w:rPr>
          <w:rFonts w:hint="default" w:asciiTheme="majorEastAsia" w:hAnsiTheme="majorEastAsia" w:eastAsiaTheme="majorEastAsia" w:cstheme="majorEastAsia"/>
          <w:sz w:val="24"/>
          <w:szCs w:val="24"/>
          <w:lang w:val="en-US" w:eastAsia="zh-CN"/>
        </w:rPr>
      </w:pPr>
    </w:p>
    <w:p w14:paraId="6986140B">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46950E4A">
      <w:pPr>
        <w:pStyle w:val="14"/>
        <w:rPr>
          <w:rFonts w:hint="eastAsia"/>
        </w:rPr>
      </w:pPr>
    </w:p>
    <w:p w14:paraId="2B50C5EC">
      <w:pPr>
        <w:rPr>
          <w:rFonts w:hint="eastAsia" w:eastAsia="黑体"/>
          <w:sz w:val="30"/>
          <w:szCs w:val="30"/>
          <w:highlight w:val="none"/>
        </w:rPr>
      </w:pPr>
      <w:bookmarkStart w:id="7" w:name="_GoBack"/>
      <w:bookmarkEnd w:id="7"/>
      <w:r>
        <w:rPr>
          <w:rFonts w:hint="eastAsia" w:eastAsia="黑体"/>
          <w:sz w:val="30"/>
          <w:szCs w:val="30"/>
          <w:highlight w:val="none"/>
        </w:rPr>
        <w:br w:type="page"/>
      </w:r>
    </w:p>
    <w:p w14:paraId="3D06D620">
      <w:pPr>
        <w:pStyle w:val="18"/>
        <w:widowControl/>
        <w:ind w:left="0" w:leftChars="0" w:firstLine="0" w:firstLineChars="0"/>
        <w:rPr>
          <w:rFonts w:hint="eastAsia" w:ascii="宋体"/>
          <w:b/>
          <w:iCs/>
          <w:kern w:val="2"/>
          <w:sz w:val="36"/>
          <w:szCs w:val="20"/>
        </w:rPr>
      </w:pPr>
      <w:r>
        <w:rPr>
          <w:rFonts w:hint="eastAsia"/>
          <w:lang w:bidi="ar"/>
        </w:rPr>
        <w:t>附件</w:t>
      </w:r>
    </w:p>
    <w:p w14:paraId="7CAAD1DC">
      <w:pPr>
        <w:jc w:val="center"/>
        <w:rPr>
          <w:b/>
          <w:bCs/>
          <w:sz w:val="30"/>
          <w:szCs w:val="30"/>
        </w:rPr>
      </w:pPr>
      <w:bookmarkStart w:id="2" w:name="_Toc25980"/>
      <w:bookmarkStart w:id="3" w:name="_Toc3889"/>
      <w:bookmarkStart w:id="4" w:name="_Toc20729"/>
      <w:bookmarkStart w:id="5" w:name="_Toc6557"/>
      <w:bookmarkStart w:id="6" w:name="_Toc9534"/>
      <w:r>
        <w:rPr>
          <w:rFonts w:hint="eastAsia"/>
          <w:b/>
          <w:bCs/>
          <w:sz w:val="30"/>
          <w:szCs w:val="30"/>
        </w:rPr>
        <w:t>非生产供应商注册操作手册</w:t>
      </w:r>
      <w:bookmarkEnd w:id="2"/>
      <w:bookmarkEnd w:id="3"/>
      <w:bookmarkEnd w:id="4"/>
      <w:bookmarkEnd w:id="5"/>
      <w:bookmarkEnd w:id="6"/>
    </w:p>
    <w:p w14:paraId="0F6F8306">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14:paraId="78E9BFC3">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07082EC3">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3CE79DFE">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467EE897">
      <w:pPr>
        <w:rPr>
          <w:rFonts w:ascii="宋体" w:cs="宋体"/>
          <w:b/>
          <w:bCs/>
          <w:color w:val="C00000"/>
          <w:lang w:bidi="ar"/>
        </w:rPr>
      </w:pPr>
    </w:p>
    <w:p w14:paraId="63885251">
      <w:pPr>
        <w:rPr>
          <w:rFonts w:ascii="宋体" w:cs="宋体"/>
          <w:b/>
          <w:bCs/>
          <w:color w:val="C00000"/>
          <w:lang w:bidi="ar"/>
        </w:rPr>
      </w:pPr>
    </w:p>
    <w:p w14:paraId="30913024">
      <w:pPr>
        <w:rPr>
          <w:rFonts w:ascii="宋体" w:cs="宋体"/>
          <w:b/>
          <w:bCs/>
          <w:sz w:val="32"/>
          <w:szCs w:val="40"/>
          <w:highlight w:val="yellow"/>
        </w:rPr>
      </w:pPr>
      <w:r>
        <w:rPr>
          <w:rFonts w:hint="eastAsia" w:ascii="宋体" w:cs="宋体"/>
          <w:b/>
          <w:bCs/>
          <w:sz w:val="32"/>
          <w:szCs w:val="40"/>
          <w:highlight w:val="yellow"/>
          <w:lang w:bidi="ar"/>
        </w:rPr>
        <w:t>供应商注册</w:t>
      </w:r>
    </w:p>
    <w:p w14:paraId="314A0399">
      <w:r>
        <w:rPr>
          <w:rFonts w:hint="eastAsia" w:ascii="宋体" w:cs="宋体"/>
          <w:color w:val="000000"/>
          <w:lang w:bidi="ar"/>
        </w:rPr>
        <w:t>浏览器中输入地址</w:t>
      </w:r>
      <w:r>
        <w:rPr>
          <w:rFonts w:ascii="Calibri" w:hAnsi="Calibri" w:eastAsia="Calibri" w:cs="Calibri"/>
          <w:color w:val="000000"/>
          <w:lang w:bidi="ar"/>
        </w:rPr>
        <w:t>;</w:t>
      </w:r>
    </w:p>
    <w:p w14:paraId="79CEC016">
      <w:r>
        <w:fldChar w:fldCharType="begin"/>
      </w:r>
      <w:r>
        <w:instrText xml:space="preserve"> HYPERLINK "http://ecaitong.sinotruk.com:8012/" \l "/login normalLink /tdkey d38o9f /tdfe -10 /tdfu http:/ecaitong.sinotruk.com:8012/#/login /tdlt inline" </w:instrText>
      </w:r>
      <w:r>
        <w:fldChar w:fldCharType="separate"/>
      </w:r>
      <w:r>
        <w:rPr>
          <w:rStyle w:val="27"/>
        </w:rPr>
        <w:t>http</w:t>
      </w:r>
      <w:r>
        <w:rPr>
          <w:rStyle w:val="27"/>
          <w:rFonts w:hint="eastAsia"/>
        </w:rPr>
        <w:t>s</w:t>
      </w:r>
      <w:r>
        <w:rPr>
          <w:rStyle w:val="27"/>
        </w:rPr>
        <w:t>://ecaitong.sinotruk.com:8012/#/login</w:t>
      </w:r>
      <w:r>
        <w:rPr>
          <w:rStyle w:val="27"/>
        </w:rPr>
        <w:fldChar w:fldCharType="end"/>
      </w:r>
    </w:p>
    <w:p w14:paraId="64AD6E80">
      <w:pPr>
        <w:numPr>
          <w:ilvl w:val="0"/>
          <w:numId w:val="1"/>
        </w:numPr>
        <w:rPr>
          <w:rFonts w:ascii="宋体" w:cs="宋体"/>
          <w:color w:val="000000"/>
          <w:lang w:bidi="ar"/>
        </w:rPr>
      </w:pPr>
      <w:r>
        <w:rPr>
          <w:rFonts w:hint="eastAsia" w:ascii="宋体" w:cs="宋体"/>
          <w:color w:val="000000"/>
          <w:lang w:bidi="ar"/>
        </w:rPr>
        <w:t>点击立即注册</w:t>
      </w:r>
    </w:p>
    <w:p w14:paraId="710C4B0F">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63739DD1">
      <w:pPr>
        <w:snapToGrid w:val="0"/>
        <w:spacing w:line="312" w:lineRule="auto"/>
      </w:pPr>
      <w:r>
        <w:rPr>
          <w:rFonts w:ascii="宋体" w:hAnsi="宋体" w:cs="宋体"/>
          <w:sz w:val="24"/>
        </w:rPr>
        <w:drawing>
          <wp:inline distT="0" distB="0" distL="114300" distR="114300">
            <wp:extent cx="5605145" cy="2578735"/>
            <wp:effectExtent l="0" t="0" r="14605" b="12065"/>
            <wp:docPr id="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IMG_256"/>
                    <pic:cNvPicPr>
                      <a:picLocks noChangeAspect="1"/>
                    </pic:cNvPicPr>
                  </pic:nvPicPr>
                  <pic:blipFill>
                    <a:blip r:embed="rId6"/>
                    <a:stretch>
                      <a:fillRect/>
                    </a:stretch>
                  </pic:blipFill>
                  <pic:spPr>
                    <a:xfrm>
                      <a:off x="0" y="0"/>
                      <a:ext cx="5605145" cy="2578735"/>
                    </a:xfrm>
                    <a:prstGeom prst="rect">
                      <a:avLst/>
                    </a:prstGeom>
                    <a:noFill/>
                    <a:ln>
                      <a:noFill/>
                    </a:ln>
                  </pic:spPr>
                </pic:pic>
              </a:graphicData>
            </a:graphic>
          </wp:inline>
        </w:drawing>
      </w:r>
    </w:p>
    <w:p w14:paraId="5E19DC41">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2EF33416">
      <w:pPr>
        <w:snapToGrid w:val="0"/>
        <w:spacing w:line="312" w:lineRule="auto"/>
      </w:pPr>
      <w:r>
        <w:drawing>
          <wp:inline distT="0" distB="0" distL="114300" distR="114300">
            <wp:extent cx="5758180" cy="2765425"/>
            <wp:effectExtent l="0" t="0" r="13970" b="15875"/>
            <wp:docPr id="7" name="图片 17" descr="descript"/>
            <wp:cNvGraphicFramePr/>
            <a:graphic xmlns:a="http://schemas.openxmlformats.org/drawingml/2006/main">
              <a:graphicData uri="http://schemas.openxmlformats.org/drawingml/2006/picture">
                <pic:pic xmlns:pic="http://schemas.openxmlformats.org/drawingml/2006/picture">
                  <pic:nvPicPr>
                    <pic:cNvPr id="7" name="图片 17" descr="descript"/>
                    <pic:cNvPicPr/>
                  </pic:nvPicPr>
                  <pic:blipFill>
                    <a:blip r:embed="rId7"/>
                    <a:stretch>
                      <a:fillRect/>
                    </a:stretch>
                  </pic:blipFill>
                  <pic:spPr>
                    <a:xfrm>
                      <a:off x="0" y="0"/>
                      <a:ext cx="5758180" cy="2765425"/>
                    </a:xfrm>
                    <a:prstGeom prst="rect">
                      <a:avLst/>
                    </a:prstGeom>
                    <a:noFill/>
                    <a:ln>
                      <a:noFill/>
                    </a:ln>
                  </pic:spPr>
                </pic:pic>
              </a:graphicData>
            </a:graphic>
          </wp:inline>
        </w:drawing>
      </w:r>
    </w:p>
    <w:p w14:paraId="47D589B6">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3B039C4C">
      <w:pPr>
        <w:snapToGrid w:val="0"/>
        <w:spacing w:line="312" w:lineRule="auto"/>
      </w:pPr>
      <w:r>
        <w:drawing>
          <wp:inline distT="0" distB="0" distL="114300" distR="114300">
            <wp:extent cx="5760085" cy="2867025"/>
            <wp:effectExtent l="0" t="0" r="12065" b="9525"/>
            <wp:docPr id="2" name="图片 5" descr="descript"/>
            <wp:cNvGraphicFramePr/>
            <a:graphic xmlns:a="http://schemas.openxmlformats.org/drawingml/2006/main">
              <a:graphicData uri="http://schemas.openxmlformats.org/drawingml/2006/picture">
                <pic:pic xmlns:pic="http://schemas.openxmlformats.org/drawingml/2006/picture">
                  <pic:nvPicPr>
                    <pic:cNvPr id="2" name="图片 5" descr="descript"/>
                    <pic:cNvPicPr/>
                  </pic:nvPicPr>
                  <pic:blipFill>
                    <a:blip r:embed="rId8"/>
                    <a:stretch>
                      <a:fillRect/>
                    </a:stretch>
                  </pic:blipFill>
                  <pic:spPr>
                    <a:xfrm>
                      <a:off x="0" y="0"/>
                      <a:ext cx="5760085" cy="2867025"/>
                    </a:xfrm>
                    <a:prstGeom prst="rect">
                      <a:avLst/>
                    </a:prstGeom>
                    <a:noFill/>
                    <a:ln>
                      <a:noFill/>
                    </a:ln>
                  </pic:spPr>
                </pic:pic>
              </a:graphicData>
            </a:graphic>
          </wp:inline>
        </w:drawing>
      </w:r>
    </w:p>
    <w:p w14:paraId="3651AB9C">
      <w:r>
        <w:rPr>
          <w:rFonts w:ascii="Calibri" w:hAnsi="Calibri" w:eastAsia="Calibri" w:cs="Calibri"/>
          <w:color w:val="000000"/>
          <w:lang w:bidi="ar"/>
        </w:rPr>
        <w:t xml:space="preserve">4.     </w:t>
      </w:r>
      <w:r>
        <w:rPr>
          <w:rFonts w:hint="eastAsia" w:ascii="宋体" w:cs="宋体"/>
          <w:color w:val="000000"/>
          <w:lang w:bidi="ar"/>
        </w:rPr>
        <w:t>点击新增</w:t>
      </w:r>
    </w:p>
    <w:p w14:paraId="75459A32">
      <w:pPr>
        <w:snapToGrid w:val="0"/>
        <w:spacing w:line="312" w:lineRule="auto"/>
      </w:pPr>
      <w:r>
        <w:drawing>
          <wp:inline distT="0" distB="0" distL="114300" distR="114300">
            <wp:extent cx="5758180" cy="2852420"/>
            <wp:effectExtent l="0" t="0" r="13970" b="5080"/>
            <wp:docPr id="12" name="图片 4" descr="descript"/>
            <wp:cNvGraphicFramePr/>
            <a:graphic xmlns:a="http://schemas.openxmlformats.org/drawingml/2006/main">
              <a:graphicData uri="http://schemas.openxmlformats.org/drawingml/2006/picture">
                <pic:pic xmlns:pic="http://schemas.openxmlformats.org/drawingml/2006/picture">
                  <pic:nvPicPr>
                    <pic:cNvPr id="12" name="图片 4" descr="descript"/>
                    <pic:cNvPicPr/>
                  </pic:nvPicPr>
                  <pic:blipFill>
                    <a:blip r:embed="rId9"/>
                    <a:stretch>
                      <a:fillRect/>
                    </a:stretch>
                  </pic:blipFill>
                  <pic:spPr>
                    <a:xfrm>
                      <a:off x="0" y="0"/>
                      <a:ext cx="5758180" cy="2852420"/>
                    </a:xfrm>
                    <a:prstGeom prst="rect">
                      <a:avLst/>
                    </a:prstGeom>
                    <a:noFill/>
                    <a:ln>
                      <a:noFill/>
                    </a:ln>
                  </pic:spPr>
                </pic:pic>
              </a:graphicData>
            </a:graphic>
          </wp:inline>
        </w:drawing>
      </w:r>
    </w:p>
    <w:p w14:paraId="15156C58">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181C4B17">
      <w:pPr>
        <w:rPr>
          <w:rFonts w:ascii="宋体" w:cs="宋体"/>
          <w:color w:val="000000"/>
        </w:rPr>
      </w:pPr>
      <w:r>
        <w:drawing>
          <wp:inline distT="0" distB="0" distL="114300" distR="114300">
            <wp:extent cx="5760085" cy="2807335"/>
            <wp:effectExtent l="0" t="0" r="12065" b="12065"/>
            <wp:docPr id="19" name="图片 18" descr="descript"/>
            <wp:cNvGraphicFramePr/>
            <a:graphic xmlns:a="http://schemas.openxmlformats.org/drawingml/2006/main">
              <a:graphicData uri="http://schemas.openxmlformats.org/drawingml/2006/picture">
                <pic:pic xmlns:pic="http://schemas.openxmlformats.org/drawingml/2006/picture">
                  <pic:nvPicPr>
                    <pic:cNvPr id="19" name="图片 18" descr="descript"/>
                    <pic:cNvPicPr/>
                  </pic:nvPicPr>
                  <pic:blipFill>
                    <a:blip r:embed="rId10"/>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22" name="图片 6" descr="descript"/>
            <wp:cNvGraphicFramePr/>
            <a:graphic xmlns:a="http://schemas.openxmlformats.org/drawingml/2006/main">
              <a:graphicData uri="http://schemas.openxmlformats.org/drawingml/2006/picture">
                <pic:pic xmlns:pic="http://schemas.openxmlformats.org/drawingml/2006/picture">
                  <pic:nvPicPr>
                    <pic:cNvPr id="22" name="图片 6"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24" name="图片 7" descr="descript"/>
            <wp:cNvGraphicFramePr/>
            <a:graphic xmlns:a="http://schemas.openxmlformats.org/drawingml/2006/main">
              <a:graphicData uri="http://schemas.openxmlformats.org/drawingml/2006/picture">
                <pic:pic xmlns:pic="http://schemas.openxmlformats.org/drawingml/2006/picture">
                  <pic:nvPicPr>
                    <pic:cNvPr id="24" name="图片 7" descr="descript"/>
                    <pic:cNvPicPr/>
                  </pic:nvPicPr>
                  <pic:blipFill>
                    <a:blip r:embed="rId11"/>
                    <a:stretch>
                      <a:fillRect/>
                    </a:stretch>
                  </pic:blipFill>
                  <pic:spPr>
                    <a:xfrm>
                      <a:off x="0" y="0"/>
                      <a:ext cx="5758180" cy="2817495"/>
                    </a:xfrm>
                    <a:prstGeom prst="rect">
                      <a:avLst/>
                    </a:prstGeom>
                    <a:noFill/>
                    <a:ln>
                      <a:noFill/>
                    </a:ln>
                  </pic:spPr>
                </pic:pic>
              </a:graphicData>
            </a:graphic>
          </wp:inline>
        </w:drawing>
      </w:r>
    </w:p>
    <w:p w14:paraId="0826AC2A"/>
    <w:p w14:paraId="2F34E498">
      <w:pPr>
        <w:snapToGrid w:val="0"/>
        <w:spacing w:line="312" w:lineRule="auto"/>
      </w:pPr>
    </w:p>
    <w:p w14:paraId="61C62865"/>
    <w:p w14:paraId="09D7FF93">
      <w:pPr>
        <w:pStyle w:val="6"/>
        <w:widowControl/>
        <w:rPr>
          <w:rFonts w:ascii="Cambria" w:hAnsi="Cambria" w:cs="Cambria"/>
          <w:highlight w:val="yellow"/>
        </w:rPr>
      </w:pPr>
      <w:r>
        <w:rPr>
          <w:rFonts w:hint="eastAsia" w:ascii="宋体" w:cs="宋体"/>
          <w:highlight w:val="yellow"/>
        </w:rPr>
        <w:t>附件-e采通登录界面</w:t>
      </w:r>
    </w:p>
    <w:p w14:paraId="0C0DB4C2">
      <w:pPr>
        <w:spacing w:line="360" w:lineRule="auto"/>
      </w:pPr>
      <w:r>
        <w:rPr>
          <w:lang w:bidi="ar"/>
        </w:rPr>
        <w:t>1</w:t>
      </w:r>
      <w:r>
        <w:rPr>
          <w:rFonts w:hint="eastAsia" w:ascii="宋体" w:cs="宋体"/>
          <w:lang w:bidi="ar"/>
        </w:rPr>
        <w:t>）功能简介</w:t>
      </w:r>
    </w:p>
    <w:p w14:paraId="4B314308">
      <w:pPr>
        <w:spacing w:line="360" w:lineRule="auto"/>
      </w:pPr>
      <w:r>
        <w:rPr>
          <w:rFonts w:hint="eastAsia" w:ascii="宋体" w:cs="宋体"/>
          <w:lang w:bidi="ar"/>
        </w:rPr>
        <w:t>此页面用于进行账号登录，找回密码。</w:t>
      </w:r>
    </w:p>
    <w:p w14:paraId="5B4D4CD9">
      <w:pPr>
        <w:numPr>
          <w:ilvl w:val="0"/>
          <w:numId w:val="2"/>
        </w:numPr>
        <w:spacing w:line="360" w:lineRule="auto"/>
      </w:pPr>
      <w:r>
        <w:rPr>
          <w:rFonts w:hint="eastAsia" w:ascii="宋体" w:cs="宋体"/>
          <w:lang w:bidi="ar"/>
        </w:rPr>
        <w:t>界面如下</w:t>
      </w:r>
    </w:p>
    <w:p w14:paraId="35DBEC94">
      <w:r>
        <w:drawing>
          <wp:inline distT="0" distB="0" distL="114300" distR="114300">
            <wp:extent cx="5278120" cy="2660650"/>
            <wp:effectExtent l="0" t="0" r="17780" b="6350"/>
            <wp:docPr id="25"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9" descr="7"/>
                    <pic:cNvPicPr>
                      <a:picLocks noChangeAspect="1"/>
                    </pic:cNvPicPr>
                  </pic:nvPicPr>
                  <pic:blipFill>
                    <a:blip r:embed="rId12"/>
                    <a:stretch>
                      <a:fillRect/>
                    </a:stretch>
                  </pic:blipFill>
                  <pic:spPr>
                    <a:xfrm>
                      <a:off x="0" y="0"/>
                      <a:ext cx="5278120" cy="2660650"/>
                    </a:xfrm>
                    <a:prstGeom prst="rect">
                      <a:avLst/>
                    </a:prstGeom>
                    <a:noFill/>
                    <a:ln>
                      <a:noFill/>
                    </a:ln>
                  </pic:spPr>
                </pic:pic>
              </a:graphicData>
            </a:graphic>
          </wp:inline>
        </w:drawing>
      </w:r>
    </w:p>
    <w:p w14:paraId="31BF30DF">
      <w:pPr>
        <w:pStyle w:val="35"/>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0B74CD50">
      <w:pPr>
        <w:pStyle w:val="35"/>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7C3CAE76">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25071C56">
      <w:pPr>
        <w:pStyle w:val="6"/>
        <w:widowControl/>
        <w:spacing w:line="360" w:lineRule="auto"/>
        <w:rPr>
          <w:rFonts w:ascii="Cambria" w:hAnsi="Cambria" w:cs="Cambria"/>
          <w:highlight w:val="yellow"/>
        </w:rPr>
      </w:pPr>
      <w:r>
        <w:rPr>
          <w:rFonts w:hint="eastAsia" w:ascii="宋体" w:cs="宋体"/>
          <w:highlight w:val="yellow"/>
        </w:rPr>
        <w:t>附件-供应商注册</w:t>
      </w:r>
    </w:p>
    <w:p w14:paraId="5177E738">
      <w:pPr>
        <w:spacing w:line="360" w:lineRule="auto"/>
      </w:pPr>
      <w:r>
        <w:rPr>
          <w:lang w:bidi="ar"/>
        </w:rPr>
        <w:t>1</w:t>
      </w:r>
      <w:r>
        <w:rPr>
          <w:rFonts w:hint="eastAsia" w:ascii="宋体" w:cs="宋体"/>
          <w:lang w:bidi="ar"/>
        </w:rPr>
        <w:t>）功能简介</w:t>
      </w:r>
    </w:p>
    <w:p w14:paraId="1C7264B4">
      <w:pPr>
        <w:spacing w:line="360" w:lineRule="auto"/>
      </w:pPr>
      <w:r>
        <w:rPr>
          <w:rFonts w:hint="eastAsia" w:ascii="宋体" w:cs="宋体"/>
          <w:lang w:bidi="ar"/>
        </w:rPr>
        <w:t>此页面用于进行供应商注册</w:t>
      </w:r>
    </w:p>
    <w:p w14:paraId="67BE1358">
      <w:pPr>
        <w:pStyle w:val="35"/>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27A8AE9E">
      <w:r>
        <w:drawing>
          <wp:inline distT="0" distB="0" distL="114300" distR="114300">
            <wp:extent cx="5342255" cy="2485390"/>
            <wp:effectExtent l="0" t="0" r="10795" b="10160"/>
            <wp:docPr id="26"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505033164" descr="8"/>
                    <pic:cNvPicPr>
                      <a:picLocks noChangeAspect="1"/>
                    </pic:cNvPicPr>
                  </pic:nvPicPr>
                  <pic:blipFill>
                    <a:blip r:embed="rId13"/>
                    <a:stretch>
                      <a:fillRect/>
                    </a:stretch>
                  </pic:blipFill>
                  <pic:spPr>
                    <a:xfrm>
                      <a:off x="0" y="0"/>
                      <a:ext cx="5342255" cy="2485390"/>
                    </a:xfrm>
                    <a:prstGeom prst="rect">
                      <a:avLst/>
                    </a:prstGeom>
                    <a:noFill/>
                    <a:ln>
                      <a:noFill/>
                    </a:ln>
                  </pic:spPr>
                </pic:pic>
              </a:graphicData>
            </a:graphic>
          </wp:inline>
        </w:drawing>
      </w:r>
    </w:p>
    <w:p w14:paraId="4FB98016">
      <w:pPr>
        <w:pStyle w:val="35"/>
        <w:widowControl/>
        <w:tabs>
          <w:tab w:val="left" w:pos="0"/>
        </w:tabs>
        <w:ind w:firstLine="0" w:firstLineChars="0"/>
        <w:rPr>
          <w:kern w:val="2"/>
          <w:sz w:val="21"/>
          <w:szCs w:val="21"/>
        </w:rPr>
      </w:pPr>
      <w:r>
        <w:rPr>
          <w:rFonts w:hint="eastAsia" w:ascii="宋体" w:cs="宋体"/>
          <w:kern w:val="2"/>
          <w:sz w:val="21"/>
          <w:szCs w:val="21"/>
        </w:rPr>
        <w:t>3）页面规则</w:t>
      </w:r>
    </w:p>
    <w:p w14:paraId="1902B1A6">
      <w:pPr>
        <w:pStyle w:val="35"/>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6A33EE6A">
      <w:pPr>
        <w:spacing w:line="360" w:lineRule="auto"/>
      </w:pPr>
      <w:r>
        <w:rPr>
          <w:rFonts w:hint="eastAsia" w:ascii="宋体" w:cs="宋体"/>
          <w:lang w:bidi="ar"/>
        </w:rPr>
        <w:t>注册信息的字段：尽量把所有信息都填写完整，</w:t>
      </w:r>
    </w:p>
    <w:p w14:paraId="433EE7AE">
      <w:pPr>
        <w:numPr>
          <w:ilvl w:val="0"/>
          <w:numId w:val="3"/>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2FF39F6D">
      <w:pPr>
        <w:numPr>
          <w:ilvl w:val="0"/>
          <w:numId w:val="3"/>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61C76AA5">
      <w:pPr>
        <w:numPr>
          <w:ilvl w:val="0"/>
          <w:numId w:val="3"/>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47D54D24">
      <w:pPr>
        <w:numPr>
          <w:ilvl w:val="0"/>
          <w:numId w:val="3"/>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6889C19D">
      <w:pPr>
        <w:pStyle w:val="2"/>
        <w:widowControl/>
        <w:numPr>
          <w:ilvl w:val="0"/>
          <w:numId w:val="3"/>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14:paraId="0BDB22E1">
      <w:pPr>
        <w:pStyle w:val="2"/>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E87CE74">
      <w:pPr>
        <w:pStyle w:val="2"/>
        <w:widowControl/>
        <w:tabs>
          <w:tab w:val="left" w:pos="312"/>
        </w:tabs>
        <w:spacing w:line="360" w:lineRule="auto"/>
        <w:ind w:firstLine="0"/>
        <w:jc w:val="left"/>
        <w:rPr>
          <w:rFonts w:ascii="宋体" w:cs="宋体"/>
          <w:kern w:val="2"/>
        </w:rPr>
      </w:pPr>
    </w:p>
    <w:p w14:paraId="3CC2EEC8">
      <w:pPr>
        <w:pStyle w:val="6"/>
        <w:widowControl/>
        <w:rPr>
          <w:highlight w:val="yellow"/>
        </w:rPr>
      </w:pPr>
      <w:r>
        <w:rPr>
          <w:rFonts w:hint="eastAsia" w:eastAsia="黑体" w:cs="黑体"/>
          <w:highlight w:val="yellow"/>
        </w:rPr>
        <w:t>附件-供应商应标</w:t>
      </w:r>
    </w:p>
    <w:p w14:paraId="5E8A9F34">
      <w:pPr>
        <w:rPr>
          <w:rFonts w:ascii="宋体" w:hAnsi="宋体" w:cs="宋体"/>
          <w:sz w:val="28"/>
          <w:szCs w:val="28"/>
        </w:rPr>
      </w:pPr>
      <w:r>
        <w:rPr>
          <w:rFonts w:hint="eastAsia" w:ascii="宋体" w:hAnsi="宋体" w:cs="宋体"/>
          <w:sz w:val="28"/>
          <w:szCs w:val="28"/>
          <w:lang w:bidi="ar"/>
        </w:rPr>
        <w:t>路径：招投标中心-非生产类招投标-供应商应标</w:t>
      </w:r>
    </w:p>
    <w:p w14:paraId="23E953CC">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7732B28D">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405ED58F">
      <w:r>
        <w:drawing>
          <wp:inline distT="0" distB="0" distL="114300" distR="114300">
            <wp:extent cx="5393690" cy="2126615"/>
            <wp:effectExtent l="0" t="0" r="16510" b="6985"/>
            <wp:docPr id="2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0"/>
                    <pic:cNvPicPr>
                      <a:picLocks noChangeAspect="1"/>
                    </pic:cNvPicPr>
                  </pic:nvPicPr>
                  <pic:blipFill>
                    <a:blip r:embed="rId14"/>
                    <a:stretch>
                      <a:fillRect/>
                    </a:stretch>
                  </pic:blipFill>
                  <pic:spPr>
                    <a:xfrm>
                      <a:off x="0" y="0"/>
                      <a:ext cx="5393690" cy="2126615"/>
                    </a:xfrm>
                    <a:prstGeom prst="rect">
                      <a:avLst/>
                    </a:prstGeom>
                    <a:noFill/>
                    <a:ln>
                      <a:noFill/>
                    </a:ln>
                  </pic:spPr>
                </pic:pic>
              </a:graphicData>
            </a:graphic>
          </wp:inline>
        </w:drawing>
      </w:r>
    </w:p>
    <w:p w14:paraId="09124E9A">
      <w:pPr>
        <w:rPr>
          <w:rFonts w:cs="宋体"/>
          <w:sz w:val="24"/>
          <w:lang w:bidi="ar"/>
        </w:rPr>
      </w:pPr>
      <w:r>
        <w:rPr>
          <w:rFonts w:hint="eastAsia" w:cs="宋体"/>
          <w:sz w:val="24"/>
          <w:lang w:bidi="ar"/>
        </w:rPr>
        <w:t>注意：</w:t>
      </w:r>
    </w:p>
    <w:p w14:paraId="1CEB12E7">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29BF4DA9">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9022900">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06CA200A">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6C445A4B">
      <w:r>
        <w:drawing>
          <wp:inline distT="0" distB="0" distL="114300" distR="114300">
            <wp:extent cx="5426075" cy="2279015"/>
            <wp:effectExtent l="0" t="0" r="3175" b="6985"/>
            <wp:docPr id="2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32"/>
                    <pic:cNvPicPr>
                      <a:picLocks noChangeAspect="1"/>
                    </pic:cNvPicPr>
                  </pic:nvPicPr>
                  <pic:blipFill>
                    <a:blip r:embed="rId15"/>
                    <a:stretch>
                      <a:fillRect/>
                    </a:stretch>
                  </pic:blipFill>
                  <pic:spPr>
                    <a:xfrm>
                      <a:off x="0" y="0"/>
                      <a:ext cx="5426075" cy="2279015"/>
                    </a:xfrm>
                    <a:prstGeom prst="rect">
                      <a:avLst/>
                    </a:prstGeom>
                    <a:noFill/>
                    <a:ln>
                      <a:noFill/>
                    </a:ln>
                  </pic:spPr>
                </pic:pic>
              </a:graphicData>
            </a:graphic>
          </wp:inline>
        </w:drawing>
      </w:r>
    </w:p>
    <w:p w14:paraId="373E00CF">
      <w:pPr>
        <w:spacing w:line="440" w:lineRule="exact"/>
        <w:jc w:val="center"/>
        <w:rPr>
          <w:rFonts w:hint="eastAsia" w:eastAsia="黑体"/>
          <w:sz w:val="30"/>
          <w:szCs w:val="30"/>
          <w:highlight w:val="none"/>
        </w:rPr>
      </w:pPr>
      <w:r>
        <w:drawing>
          <wp:inline distT="0" distB="0" distL="114300" distR="114300">
            <wp:extent cx="5331460" cy="2324100"/>
            <wp:effectExtent l="0" t="0" r="2540" b="0"/>
            <wp:docPr id="29"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3"/>
                    <pic:cNvPicPr>
                      <a:picLocks noChangeAspect="1"/>
                    </pic:cNvPicPr>
                  </pic:nvPicPr>
                  <pic:blipFill>
                    <a:blip r:embed="rId16"/>
                    <a:stretch>
                      <a:fillRect/>
                    </a:stretch>
                  </pic:blipFill>
                  <pic:spPr>
                    <a:xfrm>
                      <a:off x="0" y="0"/>
                      <a:ext cx="5331460" cy="2324100"/>
                    </a:xfrm>
                    <a:prstGeom prst="rect">
                      <a:avLst/>
                    </a:prstGeom>
                    <a:noFill/>
                    <a:ln>
                      <a:noFill/>
                    </a:ln>
                  </pic:spPr>
                </pic:pic>
              </a:graphicData>
            </a:graphic>
          </wp:inline>
        </w:drawing>
      </w:r>
      <w:r>
        <w:rPr>
          <w:rFonts w:hint="eastAsia" w:ascii="宋体"/>
          <w:b/>
          <w:iCs/>
          <w:kern w:val="2"/>
          <w:sz w:val="36"/>
          <w:szCs w:val="20"/>
        </w:rPr>
        <w:br w:type="page"/>
      </w:r>
    </w:p>
    <w:p w14:paraId="24EA6B2B">
      <w:pPr>
        <w:spacing w:line="440" w:lineRule="exact"/>
        <w:jc w:val="center"/>
        <w:rPr>
          <w:rFonts w:hint="eastAsia" w:eastAsia="黑体"/>
          <w:sz w:val="30"/>
          <w:szCs w:val="30"/>
          <w:highlight w:val="none"/>
        </w:rPr>
      </w:pPr>
    </w:p>
    <w:p w14:paraId="12198B6E">
      <w:pPr>
        <w:spacing w:line="440" w:lineRule="exact"/>
        <w:jc w:val="center"/>
        <w:rPr>
          <w:rFonts w:hint="eastAsia" w:eastAsia="黑体"/>
          <w:sz w:val="30"/>
          <w:szCs w:val="30"/>
          <w:highlight w:val="none"/>
        </w:rPr>
      </w:pPr>
    </w:p>
    <w:p w14:paraId="650CBFCB">
      <w:pPr>
        <w:spacing w:line="440" w:lineRule="exact"/>
        <w:jc w:val="center"/>
        <w:rPr>
          <w:rFonts w:hint="eastAsia" w:eastAsia="黑体"/>
          <w:sz w:val="30"/>
          <w:szCs w:val="30"/>
          <w:highlight w:val="none"/>
        </w:rPr>
      </w:pPr>
      <w:r>
        <w:rPr>
          <w:rFonts w:hint="eastAsia" w:eastAsia="黑体"/>
          <w:sz w:val="30"/>
          <w:szCs w:val="30"/>
          <w:highlight w:val="none"/>
        </w:rPr>
        <w:t>法人授权委托书</w:t>
      </w:r>
    </w:p>
    <w:p w14:paraId="58170011">
      <w:pPr>
        <w:rPr>
          <w:rFonts w:eastAsia="黑体"/>
          <w:b/>
          <w:bCs/>
          <w:sz w:val="30"/>
          <w:szCs w:val="30"/>
          <w:highlight w:val="none"/>
        </w:rPr>
      </w:pPr>
    </w:p>
    <w:p w14:paraId="42154774">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14:paraId="07018FF7">
      <w:pPr>
        <w:pStyle w:val="11"/>
        <w:rPr>
          <w:rFonts w:hint="eastAsia" w:hAnsi="宋体"/>
          <w:szCs w:val="21"/>
          <w:highlight w:val="none"/>
        </w:rPr>
      </w:pPr>
      <w:r>
        <w:rPr>
          <w:rFonts w:hint="eastAsia" w:hAnsi="宋体"/>
          <w:szCs w:val="21"/>
          <w:highlight w:val="none"/>
        </w:rPr>
        <w:t>日期：  年   月   日</w:t>
      </w:r>
    </w:p>
    <w:p w14:paraId="614D5D11">
      <w:pPr>
        <w:pStyle w:val="11"/>
        <w:rPr>
          <w:rFonts w:hint="eastAsia" w:hAnsi="宋体"/>
          <w:szCs w:val="21"/>
          <w:highlight w:val="none"/>
        </w:rPr>
      </w:pPr>
    </w:p>
    <w:p w14:paraId="7F719112">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14:paraId="51ACEA01">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XX项目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6D442AA">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14:paraId="2EFB9A33">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14:paraId="32E8600C">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14:paraId="7F3653D6">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14:paraId="4D29FDFD">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14:paraId="089BF63B">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14:paraId="0C081C83">
      <w:pPr>
        <w:ind w:firstLine="420" w:firstLineChars="200"/>
        <w:rPr>
          <w:rFonts w:ascii="宋体"/>
          <w:kern w:val="0"/>
          <w:szCs w:val="21"/>
          <w:highlight w:val="none"/>
        </w:rPr>
      </w:pPr>
    </w:p>
    <w:p w14:paraId="31302FB0">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14:paraId="7B8A3EC0">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wp:start x="0" y="0"/>
                <wp:lineTo x="0" y="21328"/>
                <wp:lineTo x="21426" y="21328"/>
                <wp:lineTo x="21426"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17">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18">
                      <a:grayscl/>
                    </a:blip>
                    <a:stretch>
                      <a:fillRect/>
                    </a:stretch>
                  </pic:blipFill>
                  <pic:spPr>
                    <a:xfrm>
                      <a:off x="0" y="0"/>
                      <a:ext cx="2450465" cy="1580515"/>
                    </a:xfrm>
                    <a:prstGeom prst="rect">
                      <a:avLst/>
                    </a:prstGeom>
                    <a:noFill/>
                    <a:ln>
                      <a:noFill/>
                    </a:ln>
                  </pic:spPr>
                </pic:pic>
              </a:graphicData>
            </a:graphic>
          </wp:anchor>
        </w:drawing>
      </w:r>
    </w:p>
    <w:p w14:paraId="155BE66F">
      <w:pPr>
        <w:jc w:val="center"/>
        <w:rPr>
          <w:rFonts w:ascii="宋体"/>
          <w:kern w:val="0"/>
          <w:szCs w:val="21"/>
          <w:highlight w:val="none"/>
        </w:rPr>
      </w:pPr>
    </w:p>
    <w:p w14:paraId="79FA71BD">
      <w:pPr>
        <w:jc w:val="center"/>
        <w:rPr>
          <w:rFonts w:ascii="宋体"/>
          <w:kern w:val="0"/>
          <w:szCs w:val="21"/>
          <w:highlight w:val="none"/>
        </w:rPr>
      </w:pPr>
    </w:p>
    <w:p w14:paraId="0B677F92">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wp:start x="0" y="0"/>
                <wp:lineTo x="0" y="21348"/>
                <wp:lineTo x="21494" y="21348"/>
                <wp:lineTo x="21494" y="0"/>
                <wp:lineTo x="0" y="0"/>
              </wp:wrapPolygon>
            </wp:wrapTight>
            <wp:docPr id="1"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58ff2a2905b7e65744b2e130cdb1067"/>
                    <pic:cNvPicPr>
                      <a:picLocks noChangeAspect="1"/>
                    </pic:cNvPicPr>
                  </pic:nvPicPr>
                  <pic:blipFill>
                    <a:blip r:embed="rId18">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14:paraId="4442E496">
      <w:pPr>
        <w:rPr>
          <w:rFonts w:ascii="楷体_GB2312" w:hAnsi="楷体_GB2312" w:eastAsia="楷体_GB2312"/>
          <w:szCs w:val="21"/>
          <w:highlight w:val="none"/>
        </w:rPr>
        <w:sectPr>
          <w:footerReference r:id="rId3" w:type="default"/>
          <w:footerReference r:id="rId4" w:type="even"/>
          <w:pgSz w:w="11906" w:h="16838"/>
          <w:pgMar w:top="1440" w:right="1531" w:bottom="1361" w:left="1531" w:header="851" w:footer="992" w:gutter="0"/>
          <w:cols w:space="720" w:num="1"/>
          <w:docGrid w:type="lines" w:linePitch="312" w:charSpace="0"/>
        </w:sectPr>
      </w:pPr>
      <w:r>
        <w:rPr>
          <w:rFonts w:hint="eastAsia" w:ascii="宋体" w:eastAsia="宋体"/>
          <w:kern w:val="0"/>
          <w:szCs w:val="21"/>
          <w:highlight w:val="none"/>
          <w:lang w:eastAsia="zh-CN"/>
        </w:rPr>
        <w:drawing>
          <wp:anchor distT="0" distB="0" distL="114300" distR="114300" simplePos="0" relativeHeight="251662336" behindDoc="1" locked="0" layoutInCell="1" allowOverlap="1">
            <wp:simplePos x="0" y="0"/>
            <wp:positionH relativeFrom="column">
              <wp:posOffset>246380</wp:posOffset>
            </wp:positionH>
            <wp:positionV relativeFrom="paragraph">
              <wp:posOffset>468630</wp:posOffset>
            </wp:positionV>
            <wp:extent cx="2439035" cy="1562735"/>
            <wp:effectExtent l="0" t="0" r="18415" b="18415"/>
            <wp:wrapTight wrapText="bothSides">
              <wp:wrapPolygon>
                <wp:start x="0" y="0"/>
                <wp:lineTo x="0" y="21328"/>
                <wp:lineTo x="21426" y="21328"/>
                <wp:lineTo x="21426" y="0"/>
                <wp:lineTo x="0" y="0"/>
              </wp:wrapPolygon>
            </wp:wrapTight>
            <wp:docPr id="5"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f23e120dcdf8f70911d15c4ef647946"/>
                    <pic:cNvPicPr>
                      <a:picLocks noChangeAspect="1"/>
                    </pic:cNvPicPr>
                  </pic:nvPicPr>
                  <pic:blipFill>
                    <a:blip r:embed="rId17">
                      <a:grayscl/>
                    </a:blip>
                    <a:stretch>
                      <a:fillRect/>
                    </a:stretch>
                  </pic:blipFill>
                  <pic:spPr>
                    <a:xfrm>
                      <a:off x="0" y="0"/>
                      <a:ext cx="2439035" cy="1562735"/>
                    </a:xfrm>
                    <a:prstGeom prst="rect">
                      <a:avLst/>
                    </a:prstGeom>
                    <a:noFill/>
                    <a:ln>
                      <a:noFill/>
                    </a:ln>
                  </pic:spPr>
                </pic:pic>
              </a:graphicData>
            </a:graphic>
          </wp:anchor>
        </w:drawing>
      </w:r>
    </w:p>
    <w:p w14:paraId="1A70BE1D">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0ADA4">
    <w:pPr>
      <w:pStyle w:val="1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3AC1114">
                          <w:pPr>
                            <w:pStyle w:val="1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33AC1114">
                    <w:pPr>
                      <w:pStyle w:val="1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6F84C5">
    <w:pPr>
      <w:pStyle w:val="1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FE2601">
                          <w:pPr>
                            <w:pStyle w:val="1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14:paraId="0DFE2601">
                    <w:pPr>
                      <w:pStyle w:val="12"/>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2">
    <w:nsid w:val="7446C7A1"/>
    <w:multiLevelType w:val="singleLevel"/>
    <w:tmpl w:val="7446C7A1"/>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EA0CEF"/>
    <w:rsid w:val="1B196BE1"/>
    <w:rsid w:val="1B570468"/>
    <w:rsid w:val="1F6045A9"/>
    <w:rsid w:val="2AE9007F"/>
    <w:rsid w:val="44907102"/>
    <w:rsid w:val="48EF075C"/>
    <w:rsid w:val="4B7E5A1A"/>
    <w:rsid w:val="544C0913"/>
    <w:rsid w:val="555F5516"/>
    <w:rsid w:val="583425FE"/>
    <w:rsid w:val="613A51F3"/>
    <w:rsid w:val="69E17BC6"/>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tabs>
        <w:tab w:val="right" w:leader="dot" w:pos="9061"/>
      </w:tabs>
      <w:spacing w:line="360" w:lineRule="auto"/>
      <w:jc w:val="center"/>
      <w:outlineLvl w:val="0"/>
    </w:pPr>
    <w:rPr>
      <w:b/>
      <w:iCs/>
      <w:sz w:val="36"/>
      <w:szCs w:val="20"/>
    </w:rPr>
  </w:style>
  <w:style w:type="paragraph" w:styleId="4">
    <w:name w:val="heading 2"/>
    <w:basedOn w:val="1"/>
    <w:next w:val="1"/>
    <w:qFormat/>
    <w:uiPriority w:val="9"/>
    <w:pPr>
      <w:keepNext/>
      <w:spacing w:before="240" w:after="60"/>
      <w:outlineLvl w:val="1"/>
    </w:pPr>
    <w:rPr>
      <w:rFonts w:ascii="Cambria" w:hAnsi="Cambria"/>
      <w:b/>
      <w:bCs/>
      <w:i/>
      <w:iCs/>
      <w:sz w:val="28"/>
      <w:szCs w:val="28"/>
    </w:rPr>
  </w:style>
  <w:style w:type="paragraph" w:styleId="5">
    <w:name w:val="heading 3"/>
    <w:basedOn w:val="1"/>
    <w:next w:val="1"/>
    <w:qFormat/>
    <w:uiPriority w:val="0"/>
    <w:pPr>
      <w:keepNext/>
      <w:keepLines/>
      <w:widowControl w:val="0"/>
      <w:spacing w:before="260" w:after="260" w:line="415" w:lineRule="auto"/>
      <w:outlineLvl w:val="2"/>
    </w:pPr>
    <w:rPr>
      <w:b/>
      <w:bCs/>
      <w:kern w:val="0"/>
      <w:sz w:val="32"/>
      <w:szCs w:val="32"/>
    </w:rPr>
  </w:style>
  <w:style w:type="paragraph" w:styleId="6">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6"/>
    <w:basedOn w:val="1"/>
    <w:next w:val="1"/>
    <w:qFormat/>
    <w:uiPriority w:val="1"/>
    <w:pPr>
      <w:ind w:left="1269" w:hanging="214"/>
      <w:outlineLvl w:val="5"/>
    </w:pPr>
    <w:rPr>
      <w:b/>
      <w:bCs/>
      <w:sz w:val="21"/>
      <w:szCs w:val="21"/>
    </w:rPr>
  </w:style>
  <w:style w:type="character" w:default="1" w:styleId="20">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 w:val="14"/>
    </w:rPr>
  </w:style>
  <w:style w:type="paragraph" w:styleId="8">
    <w:name w:val="Body Text"/>
    <w:basedOn w:val="1"/>
    <w:qFormat/>
    <w:uiPriority w:val="0"/>
    <w:pPr>
      <w:spacing w:after="120"/>
    </w:pPr>
    <w:rPr>
      <w:kern w:val="0"/>
      <w:szCs w:val="21"/>
    </w:rPr>
  </w:style>
  <w:style w:type="paragraph" w:styleId="9">
    <w:name w:val="Body Text Indent"/>
    <w:basedOn w:val="1"/>
    <w:next w:val="1"/>
    <w:qFormat/>
    <w:uiPriority w:val="0"/>
    <w:pPr>
      <w:spacing w:line="500" w:lineRule="exact"/>
      <w:ind w:left="832" w:leftChars="832" w:firstLine="196" w:firstLineChars="196"/>
    </w:pPr>
    <w:rPr>
      <w:kern w:val="0"/>
    </w:rPr>
  </w:style>
  <w:style w:type="paragraph" w:styleId="10">
    <w:name w:val="index 4"/>
    <w:basedOn w:val="1"/>
    <w:next w:val="1"/>
    <w:unhideWhenUsed/>
    <w:qFormat/>
    <w:uiPriority w:val="0"/>
    <w:pPr>
      <w:ind w:left="600" w:leftChars="600"/>
    </w:pPr>
  </w:style>
  <w:style w:type="paragraph" w:styleId="11">
    <w:name w:val="Plain Text"/>
    <w:basedOn w:val="1"/>
    <w:qFormat/>
    <w:uiPriority w:val="0"/>
    <w:rPr>
      <w:rFonts w:ascii="宋体"/>
      <w:szCs w:val="20"/>
    </w:rPr>
  </w:style>
  <w:style w:type="paragraph" w:styleId="12">
    <w:name w:val="footer"/>
    <w:basedOn w:val="1"/>
    <w:unhideWhenUsed/>
    <w:qFormat/>
    <w:uiPriority w:val="99"/>
    <w:pPr>
      <w:tabs>
        <w:tab w:val="center" w:pos="4153"/>
        <w:tab w:val="right" w:pos="8306"/>
      </w:tabs>
      <w:snapToGrid w:val="0"/>
      <w:jc w:val="left"/>
    </w:pPr>
    <w:rPr>
      <w:sz w:val="18"/>
      <w:szCs w:val="18"/>
    </w:rPr>
  </w:style>
  <w:style w:type="paragraph" w:styleId="13">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5">
    <w:name w:val="toc 2"/>
    <w:basedOn w:val="1"/>
    <w:next w:val="1"/>
    <w:qFormat/>
    <w:uiPriority w:val="0"/>
    <w:pPr>
      <w:spacing w:line="360" w:lineRule="auto"/>
      <w:ind w:left="210"/>
      <w:jc w:val="left"/>
    </w:pPr>
    <w:rPr>
      <w:smallCaps/>
      <w:sz w:val="24"/>
      <w:szCs w:val="20"/>
    </w:rPr>
  </w:style>
  <w:style w:type="paragraph" w:styleId="16">
    <w:name w:val="Normal (Web)"/>
    <w:basedOn w:val="1"/>
    <w:qFormat/>
    <w:uiPriority w:val="0"/>
    <w:pPr>
      <w:widowControl/>
      <w:spacing w:before="100" w:beforeAutospacing="1" w:after="100" w:afterAutospacing="1"/>
      <w:jc w:val="left"/>
    </w:pPr>
    <w:rPr>
      <w:rFonts w:ascii="宋体" w:cs="宋体"/>
      <w:kern w:val="0"/>
      <w:sz w:val="24"/>
      <w:szCs w:val="24"/>
      <w:lang w:bidi="ar-SA"/>
    </w:rPr>
  </w:style>
  <w:style w:type="paragraph" w:styleId="17">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8">
    <w:name w:val="Body Text First Indent 2"/>
    <w:basedOn w:val="9"/>
    <w:next w:val="15"/>
    <w:qFormat/>
    <w:uiPriority w:val="0"/>
    <w:pPr>
      <w:spacing w:after="120" w:line="276" w:lineRule="auto"/>
      <w:ind w:left="200" w:leftChars="200" w:firstLine="200" w:firstLineChars="200"/>
      <w:jc w:val="left"/>
    </w:pPr>
  </w:style>
  <w:style w:type="character" w:styleId="21">
    <w:name w:val="Strong"/>
    <w:basedOn w:val="20"/>
    <w:qFormat/>
    <w:uiPriority w:val="0"/>
    <w:rPr>
      <w:b/>
    </w:rPr>
  </w:style>
  <w:style w:type="character" w:styleId="22">
    <w:name w:val="FollowedHyperlink"/>
    <w:basedOn w:val="20"/>
    <w:qFormat/>
    <w:uiPriority w:val="0"/>
    <w:rPr>
      <w:color w:val="800080"/>
      <w:u w:val="none"/>
    </w:rPr>
  </w:style>
  <w:style w:type="character" w:styleId="23">
    <w:name w:val="HTML Definition"/>
    <w:basedOn w:val="20"/>
    <w:qFormat/>
    <w:uiPriority w:val="0"/>
  </w:style>
  <w:style w:type="character" w:styleId="24">
    <w:name w:val="HTML Typewriter"/>
    <w:basedOn w:val="20"/>
    <w:qFormat/>
    <w:uiPriority w:val="0"/>
    <w:rPr>
      <w:rFonts w:hint="default" w:ascii="monospace" w:hAnsi="monospace" w:eastAsia="monospace" w:cs="monospace"/>
      <w:sz w:val="20"/>
    </w:rPr>
  </w:style>
  <w:style w:type="character" w:styleId="25">
    <w:name w:val="HTML Acronym"/>
    <w:basedOn w:val="20"/>
    <w:qFormat/>
    <w:uiPriority w:val="0"/>
  </w:style>
  <w:style w:type="character" w:styleId="26">
    <w:name w:val="HTML Variable"/>
    <w:basedOn w:val="20"/>
    <w:qFormat/>
    <w:uiPriority w:val="0"/>
  </w:style>
  <w:style w:type="character" w:styleId="27">
    <w:name w:val="Hyperlink"/>
    <w:basedOn w:val="20"/>
    <w:qFormat/>
    <w:uiPriority w:val="0"/>
    <w:rPr>
      <w:color w:val="0000FF"/>
      <w:u w:val="none"/>
    </w:rPr>
  </w:style>
  <w:style w:type="character" w:styleId="28">
    <w:name w:val="HTML Code"/>
    <w:basedOn w:val="20"/>
    <w:qFormat/>
    <w:uiPriority w:val="0"/>
    <w:rPr>
      <w:rFonts w:hint="default" w:ascii="monospace" w:hAnsi="monospace" w:eastAsia="monospace" w:cs="monospace"/>
      <w:sz w:val="20"/>
    </w:rPr>
  </w:style>
  <w:style w:type="character" w:styleId="29">
    <w:name w:val="HTML Cite"/>
    <w:basedOn w:val="20"/>
    <w:qFormat/>
    <w:uiPriority w:val="0"/>
  </w:style>
  <w:style w:type="character" w:styleId="30">
    <w:name w:val="HTML Keyboard"/>
    <w:basedOn w:val="20"/>
    <w:qFormat/>
    <w:uiPriority w:val="0"/>
    <w:rPr>
      <w:rFonts w:ascii="monospace" w:hAnsi="monospace" w:eastAsia="monospace" w:cs="monospace"/>
      <w:sz w:val="20"/>
    </w:rPr>
  </w:style>
  <w:style w:type="character" w:styleId="31">
    <w:name w:val="HTML Sample"/>
    <w:basedOn w:val="20"/>
    <w:qFormat/>
    <w:uiPriority w:val="0"/>
    <w:rPr>
      <w:rFonts w:hint="default" w:ascii="monospace" w:hAnsi="monospace" w:eastAsia="monospace" w:cs="monospace"/>
    </w:rPr>
  </w:style>
  <w:style w:type="paragraph" w:customStyle="1" w:styleId="32">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33">
    <w:name w:val="List Paragraph"/>
    <w:basedOn w:val="1"/>
    <w:qFormat/>
    <w:uiPriority w:val="34"/>
    <w:pPr>
      <w:ind w:firstLine="420" w:firstLineChars="200"/>
    </w:pPr>
  </w:style>
  <w:style w:type="character" w:customStyle="1" w:styleId="34">
    <w:name w:val="NormalCharacter"/>
    <w:qFormat/>
    <w:uiPriority w:val="0"/>
  </w:style>
  <w:style w:type="paragraph" w:customStyle="1" w:styleId="35">
    <w:name w:val="列表段落1"/>
    <w:basedOn w:val="1"/>
    <w:qFormat/>
    <w:uiPriority w:val="0"/>
    <w:pPr>
      <w:ind w:firstLine="200" w:firstLineChars="200"/>
    </w:pPr>
    <w:rPr>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1653</Words>
  <Characters>1957</Characters>
  <Lines>0</Lines>
  <Paragraphs>0</Paragraphs>
  <TotalTime>0</TotalTime>
  <ScaleCrop>false</ScaleCrop>
  <LinksUpToDate>false</LinksUpToDate>
  <CharactersWithSpaces>2137</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1</cp:lastModifiedBy>
  <dcterms:modified xsi:type="dcterms:W3CDTF">2026-02-03T03:15:38Z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eyJoZGlkIjoiOTkzZWRkNjVmODY5NjY2ODY0ZWJmMDdhNGZiZTE3MjkiLCJ1c2VySWQiOiI1MDMyNjc5ODcifQ==</vt:lpwstr>
  </property>
  <property fmtid="{D5CDD505-2E9C-101B-9397-08002B2CF9AE}" pid="4" name="ICV">
    <vt:lpwstr>36BA767B9B1647D78DB7367FAC05A487_13</vt:lpwstr>
  </property>
</Properties>
</file>