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0"/>
      <w:bookmarkStart w:id="1" w:name="OLE_LINK31"/>
    </w:p>
    <w:p w14:paraId="404D6B4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95A7764">
      <w:pPr>
        <w:spacing w:line="276" w:lineRule="auto"/>
        <w:ind w:firstLine="932"/>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更新电子汽车衡项目</w:t>
      </w:r>
    </w:p>
    <w:p w14:paraId="10EA233E">
      <w:pPr>
        <w:pStyle w:val="16"/>
        <w:rPr>
          <w:color w:val="000000" w:themeColor="text1"/>
          <w:highlight w:val="none"/>
          <w14:textFill>
            <w14:solidFill>
              <w14:schemeClr w14:val="tx1"/>
            </w14:solidFill>
          </w14:textFill>
        </w:rPr>
      </w:pPr>
    </w:p>
    <w:p w14:paraId="7077073A">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7A6B2E72">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2025</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03</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2A1C4EB5">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"_Toc8448"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"_Toc15609"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"_Toc22879"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"_Toc9849"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"_Toc28859"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6FD2184">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bCs/>
                <w:color w:val="000000" w:themeColor="text1"/>
                <w:sz w:val="24"/>
                <w:szCs w:val="24"/>
                <w:highlight w:val="none"/>
                <w:u w:val="single"/>
                <w:lang w:eastAsia="zh-CN"/>
                <w14:textFill>
                  <w14:solidFill>
                    <w14:schemeClr w14:val="tx1"/>
                  </w14:solidFill>
                </w14:textFill>
              </w:rPr>
              <w:t>更新电子汽车衡项目</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项目编号：CGZX2025</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030245</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281D0491">
            <w:pPr>
              <w:ind w:firstLine="482" w:firstLineChars="200"/>
              <w:rPr>
                <w:rFonts w:hint="eastAsia" w:ascii="宋体" w:hAnsi="Courier New"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更新电子汽车衡项目，</w:t>
            </w:r>
            <w:r>
              <w:rPr>
                <w:rFonts w:hint="eastAsia" w:ascii="宋体" w:hAnsi="Courier New" w:eastAsia="宋体" w:cs="Times New Roman"/>
                <w:color w:val="000000" w:themeColor="text1"/>
                <w:sz w:val="24"/>
                <w:szCs w:val="24"/>
                <w:highlight w:val="none"/>
                <w:lang w:val="en-US" w:eastAsia="zh-CN"/>
                <w14:textFill>
                  <w14:solidFill>
                    <w14:schemeClr w14:val="tx1"/>
                  </w14:solidFill>
                </w14:textFill>
              </w:rPr>
              <w:t>拆除旧磅基础，</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提供</w:t>
            </w:r>
            <w:r>
              <w:rPr>
                <w:rFonts w:hint="eastAsia" w:ascii="宋体" w:hAnsi="Courier New" w:eastAsia="宋体" w:cs="Times New Roman"/>
                <w:color w:val="000000" w:themeColor="text1"/>
                <w:sz w:val="24"/>
                <w:szCs w:val="24"/>
                <w:highlight w:val="none"/>
                <w:lang w:val="en-US" w:eastAsia="zh-CN"/>
                <w14:textFill>
                  <w14:solidFill>
                    <w14:schemeClr w14:val="tx1"/>
                  </w14:solidFill>
                </w14:textFill>
              </w:rPr>
              <w:t>新</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设备基础图，引坡</w:t>
            </w:r>
            <w:r>
              <w:rPr>
                <w:rFonts w:hint="eastAsia" w:ascii="宋体" w:hAnsi="Courier New" w:eastAsia="宋体" w:cs="Times New Roman"/>
                <w:color w:val="000000" w:themeColor="text1"/>
                <w:sz w:val="24"/>
                <w:szCs w:val="24"/>
                <w:highlight w:val="none"/>
                <w:lang w:val="en-US" w:eastAsia="zh-CN"/>
                <w14:textFill>
                  <w14:solidFill>
                    <w14:schemeClr w14:val="tx1"/>
                  </w14:solidFill>
                </w14:textFill>
              </w:rPr>
              <w:t>为</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钢筋混凝土结构，安装更新电子汽车衡</w:t>
            </w:r>
            <w:r>
              <w:rPr>
                <w:rFonts w:hint="eastAsia" w:ascii="宋体" w:hAnsi="Courier New" w:eastAsia="宋体" w:cs="Times New Roman"/>
                <w:color w:val="000000" w:themeColor="text1"/>
                <w:sz w:val="24"/>
                <w:szCs w:val="24"/>
                <w:highlight w:val="none"/>
                <w:lang w:val="en-US" w:eastAsia="zh-CN"/>
                <w14:textFill>
                  <w14:solidFill>
                    <w14:schemeClr w14:val="tx1"/>
                  </w14:solidFill>
                </w14:textFill>
              </w:rPr>
              <w:t>，实现16米及以下车辆一次精准过磅，满足计量称重需求。</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0352-7696392</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eastAsia" w:hAnsi="宋体" w:eastAsia="宋体" w:cs="宋体"/>
                <w:b/>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ascii="宋体" w:hAnsi="宋体" w:eastAsia="宋体" w:cs="宋体"/>
                <w:bCs/>
                <w:snapToGrid w:val="0"/>
                <w:color w:val="000000" w:themeColor="text1"/>
                <w:kern w:val="0"/>
                <w:sz w:val="24"/>
                <w:szCs w:val="24"/>
                <w:highlight w:val="none"/>
                <w:lang w:val="en-US" w:eastAsia="zh-CN" w:bidi="ar-SA"/>
                <w14:textFill>
                  <w14:solidFill>
                    <w14:schemeClr w14:val="tx1"/>
                  </w14:solidFill>
                </w14:textFill>
              </w:rPr>
              <w:t>赵子炯</w:t>
            </w:r>
          </w:p>
          <w:p w14:paraId="64F92D6C">
            <w:pPr>
              <w:pStyle w:val="16"/>
              <w:ind w:firstLine="482"/>
              <w:rPr>
                <w:rFonts w:hint="default"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 w:val="0"/>
                <w:bCs/>
                <w:snapToGrid w:val="0"/>
                <w:color w:val="000000" w:themeColor="text1"/>
                <w:kern w:val="0"/>
                <w:sz w:val="24"/>
                <w:szCs w:val="24"/>
                <w:highlight w:val="none"/>
                <w:lang w:val="en-US" w:eastAsia="zh-CN"/>
                <w14:textFill>
                  <w14:solidFill>
                    <w14:schemeClr w14:val="tx1"/>
                  </w14:solidFill>
                </w14:textFill>
              </w:rPr>
              <w:t>0352-7696410</w:t>
            </w: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报价不能高于重汽e采通系统报价上限。</w:t>
            </w: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1.拟标投人必须是在中华人民共和国境内注册的独立法人机构，具有独立承担民事责任能力；注册资金不少于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100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拟投标人近三年(2021年1月1日至今)有与本次招标内容相同或类似项目业绩，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4</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3  </w:t>
            </w:r>
            <w:r>
              <w:rPr>
                <w:rFonts w:hint="eastAsia" w:ascii="宋体" w:hAnsi="宋体" w:eastAsia="宋体" w:cs="宋体"/>
                <w:bCs/>
                <w:color w:val="000000" w:themeColor="text1"/>
                <w:sz w:val="24"/>
                <w:szCs w:val="24"/>
                <w:highlight w:val="none"/>
                <w14:textFill>
                  <w14:solidFill>
                    <w14:schemeClr w14:val="tx1"/>
                  </w14:solidFill>
                </w14:textFill>
              </w:rPr>
              <w:t>日;</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13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13  </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5</w:t>
            </w:r>
            <w:r>
              <w:rPr>
                <w:rFonts w:hint="eastAsia" w:eastAsia="宋体" w:cs="宋体"/>
                <w:color w:val="000000" w:themeColor="text1"/>
                <w:highlight w:val="none"/>
                <w14:textFill>
                  <w14:solidFill>
                    <w14:schemeClr w14:val="tx1"/>
                  </w14:solidFill>
                </w14:textFill>
              </w:rPr>
              <w:t>年</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 4 </w:t>
            </w:r>
            <w:r>
              <w:rPr>
                <w:rFonts w:hint="eastAsia" w:eastAsia="宋体" w:cs="宋体"/>
                <w:color w:val="000000" w:themeColor="text1"/>
                <w:highlight w:val="none"/>
                <w14:textFill>
                  <w14:solidFill>
                    <w14:schemeClr w14:val="tx1"/>
                  </w14:solidFill>
                </w14:textFill>
              </w:rPr>
              <w:t>月</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 14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13</w:t>
            </w:r>
            <w:r>
              <w:rPr>
                <w:rFonts w:hint="eastAsia" w:eastAsia="宋体" w:cs="宋体"/>
                <w:color w:val="000000" w:themeColor="text1"/>
                <w:highlight w:val="none"/>
                <w14:textFill>
                  <w14:solidFill>
                    <w14:schemeClr w14:val="tx1"/>
                  </w14:solidFill>
                </w14:textFill>
              </w:rPr>
              <w:t>时</w:t>
            </w:r>
            <w:r>
              <w:rPr>
                <w:rFonts w:hint="eastAsia" w:eastAsia="宋体" w:cs="宋体"/>
                <w:color w:val="000000" w:themeColor="text1"/>
                <w:highlight w:val="none"/>
                <w:lang w:val="en-US" w:eastAsia="zh-CN"/>
                <w14:textFill>
                  <w14:solidFill>
                    <w14:schemeClr w14:val="tx1"/>
                  </w14:solidFill>
                </w14:textFill>
              </w:rPr>
              <w:t>00</w:t>
            </w:r>
            <w:r>
              <w:rPr>
                <w:rFonts w:hint="eastAsia" w:eastAsia="宋体" w:cs="宋体"/>
                <w:color w:val="000000" w:themeColor="text1"/>
                <w:highlight w:val="none"/>
                <w14:textFill>
                  <w14:solidFill>
                    <w14:schemeClr w14:val="tx1"/>
                  </w14:solidFill>
                </w14:textFill>
              </w:rPr>
              <w:t>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w:t>
            </w:r>
            <w:r>
              <w:rPr>
                <w:rFonts w:hint="eastAsia" w:eastAsia="宋体" w:cs="宋体" w:asciiTheme="minorHAnsi" w:hAnsiTheme="minorHAnsi"/>
                <w:bCs/>
                <w:color w:val="000000" w:themeColor="text1"/>
                <w:sz w:val="24"/>
                <w:szCs w:val="24"/>
                <w:highlight w:val="none"/>
                <w:lang w:eastAsia="zh-CN"/>
                <w14:textFill>
                  <w14:solidFill>
                    <w14:schemeClr w14:val="tx1"/>
                  </w14:solidFill>
                </w14:textFill>
              </w:rPr>
              <w:t>两</w:t>
            </w:r>
            <w:r>
              <w:rPr>
                <w:rFonts w:hint="eastAsia" w:eastAsia="宋体" w:cs="宋体" w:asciiTheme="minorHAnsi" w:hAnsiTheme="minorHAnsi"/>
                <w:bCs/>
                <w:color w:val="000000" w:themeColor="text1"/>
                <w:sz w:val="24"/>
                <w:szCs w:val="24"/>
                <w:highlight w:val="none"/>
                <w14:textFill>
                  <w14:solidFill>
                    <w14:schemeClr w14:val="tx1"/>
                  </w14:solidFill>
                </w14:textFill>
              </w:rPr>
              <w:t>天，邮寄到指定地址。</w:t>
            </w:r>
          </w:p>
          <w:p w14:paraId="62CE368A">
            <w:pPr>
              <w:pStyle w:val="16"/>
              <w:ind w:firstLine="482"/>
              <w:rPr>
                <w:rFonts w:hint="eastAsia" w:hAnsi="宋体" w:eastAsia="宋体" w:cs="Times New Roman"/>
                <w:color w:val="000000" w:themeColor="text1"/>
                <w:sz w:val="24"/>
                <w:szCs w:val="24"/>
                <w:highlight w:val="none"/>
                <w:lang w:eastAsia="zh-CN"/>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r>
              <w:rPr>
                <w:rFonts w:hint="eastAsia" w:hAnsi="宋体" w:eastAsia="宋体" w:cs="Times New Roman"/>
                <w:color w:val="000000" w:themeColor="text1"/>
                <w:sz w:val="24"/>
                <w:szCs w:val="24"/>
                <w:highlight w:val="none"/>
                <w:lang w:eastAsia="zh-CN"/>
                <w14:textFill>
                  <w14:solidFill>
                    <w14:schemeClr w14:val="tx1"/>
                  </w14:solidFill>
                </w14:textFill>
              </w:rPr>
              <w:t>制造部</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w:t>
            </w:r>
            <w:r>
              <w:rPr>
                <w:rFonts w:hint="eastAsia"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14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lang w:val="en-US" w:eastAsia="zh-CN"/>
                <w14:textFill>
                  <w14:solidFill>
                    <w14:schemeClr w14:val="tx1"/>
                  </w14:solidFill>
                </w14:textFill>
              </w:rPr>
              <w:t xml:space="preserve"> 13</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5000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4</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cs="宋体"/>
                <w:color w:val="000000" w:themeColor="text1"/>
                <w:sz w:val="24"/>
                <w:szCs w:val="24"/>
                <w:highlight w:val="none"/>
                <w:u w:val="single"/>
                <w:lang w:val="en-US" w:eastAsia="zh-CN"/>
                <w14:textFill>
                  <w14:solidFill>
                    <w14:schemeClr w14:val="tx1"/>
                  </w14:solidFill>
                </w14:textFill>
              </w:rPr>
              <w:t xml:space="preserve">  13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4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14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13</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6A5DC0BE">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接到中标通知之日起</w:t>
            </w:r>
            <w:r>
              <w:rPr>
                <w:rFonts w:hint="eastAsia" w:hAnsi="宋体" w:eastAsia="宋体" w:cs="宋体"/>
                <w:color w:val="000000" w:themeColor="text1"/>
                <w:sz w:val="24"/>
                <w:szCs w:val="24"/>
                <w:highlight w:val="none"/>
                <w:lang w:eastAsia="zh-CN"/>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90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14:paraId="4A1DCCDF">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10</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2F441B3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接续</w:t>
            </w:r>
            <w:r>
              <w:rPr>
                <w:rFonts w:hint="eastAsia" w:ascii="宋体" w:hAnsi="宋体" w:eastAsia="宋体" w:cs="宋体"/>
                <w:color w:val="000000" w:themeColor="text1"/>
                <w:kern w:val="0"/>
                <w:sz w:val="24"/>
                <w:highlight w:val="none"/>
                <w:lang w:val="en-US" w:eastAsia="zh-CN"/>
                <w14:textFill>
                  <w14:solidFill>
                    <w14:schemeClr w14:val="tx1"/>
                  </w14:solidFill>
                </w14:textFill>
              </w:rPr>
              <w:t>20</w:t>
            </w:r>
            <w:r>
              <w:rPr>
                <w:rFonts w:hint="eastAsia" w:ascii="宋体" w:hAnsi="宋体" w:eastAsia="宋体" w:cs="宋体"/>
                <w:color w:val="000000" w:themeColor="text1"/>
                <w:kern w:val="0"/>
                <w:sz w:val="24"/>
                <w:highlight w:val="none"/>
                <w14:textFill>
                  <w14:solidFill>
                    <w14:schemeClr w14:val="tx1"/>
                  </w14:solidFill>
                </w14:textFill>
              </w:rPr>
              <w:t>个日历日之内投入使用。</w:t>
            </w:r>
          </w:p>
          <w:p w14:paraId="6469565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69088EB5">
            <w:pPr>
              <w:pStyle w:val="16"/>
              <w:ind w:firstLine="482" w:firstLineChars="200"/>
              <w:rPr>
                <w:rFonts w:hint="default" w:hAnsi="宋体" w:eastAsia="宋体" w:cs="宋体"/>
                <w:color w:val="000000" w:themeColor="text1"/>
                <w:sz w:val="24"/>
                <w:szCs w:val="24"/>
                <w:highlight w:val="none"/>
                <w:lang w:val="en-US"/>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30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eastAsia="zh-CN"/>
                <w14:textFill>
                  <w14:solidFill>
                    <w14:schemeClr w14:val="tx1"/>
                  </w14:solidFill>
                </w14:textFill>
              </w:rPr>
              <w:t>到货</w:t>
            </w:r>
            <w:r>
              <w:rPr>
                <w:rFonts w:ascii="宋体" w:hAnsi="宋体" w:eastAsia="宋体" w:cs="宋体"/>
                <w:color w:val="000000" w:themeColor="text1"/>
                <w:kern w:val="0"/>
                <w:sz w:val="24"/>
                <w:highlight w:val="none"/>
                <w14:textFill>
                  <w14:solidFill>
                    <w14:schemeClr w14:val="tx1"/>
                  </w14:solidFill>
                </w14:textFill>
              </w:rPr>
              <w:t>款，</w:t>
            </w:r>
            <w:r>
              <w:rPr>
                <w:rFonts w:hint="eastAsia" w:ascii="宋体" w:hAnsi="宋体" w:eastAsia="宋体" w:cs="宋体"/>
                <w:color w:val="000000" w:themeColor="text1"/>
                <w:kern w:val="0"/>
                <w:sz w:val="24"/>
                <w:highlight w:val="none"/>
                <w:lang w:val="en-US" w:eastAsia="zh-CN"/>
                <w14:textFill>
                  <w14:solidFill>
                    <w14:schemeClr w14:val="tx1"/>
                  </w14:solidFill>
                </w14:textFill>
              </w:rPr>
              <w:t>60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终</w:t>
            </w:r>
            <w:r>
              <w:rPr>
                <w:rFonts w:ascii="宋体" w:hAnsi="宋体" w:eastAsia="宋体" w:cs="宋体"/>
                <w:color w:val="000000" w:themeColor="text1"/>
                <w:kern w:val="0"/>
                <w:sz w:val="24"/>
                <w:highlight w:val="none"/>
                <w14:textFill>
                  <w14:solidFill>
                    <w14:schemeClr w14:val="tx1"/>
                  </w14:solidFill>
                </w14:textFill>
              </w:rPr>
              <w:t>验收款</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10%质保金</w:t>
            </w:r>
          </w:p>
          <w:p w14:paraId="63BD932B">
            <w:pPr>
              <w:pStyle w:val="16"/>
              <w:numPr>
                <w:ilvl w:val="0"/>
                <w:numId w:val="2"/>
              </w:numPr>
              <w:ind w:left="90" w:leftChars="0" w:firstLine="480" w:firstLineChars="0"/>
              <w:rPr>
                <w:rFonts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lang w:val="en-US" w:eastAsia="zh-CN"/>
                <w14:textFill>
                  <w14:solidFill>
                    <w14:schemeClr w14:val="tx1"/>
                  </w14:solidFill>
                </w14:textFill>
              </w:rPr>
              <w:t>设备全部到货后，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38874A64">
            <w:pPr>
              <w:pStyle w:val="16"/>
              <w:numPr>
                <w:ilvl w:val="0"/>
                <w:numId w:val="2"/>
              </w:numPr>
              <w:ind w:left="90" w:leftChars="0" w:firstLine="480" w:firstLineChars="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4C7D33D6">
            <w:pPr>
              <w:pStyle w:val="16"/>
              <w:numPr>
                <w:ilvl w:val="0"/>
                <w:numId w:val="2"/>
              </w:numPr>
              <w:ind w:left="90" w:leftChars="0" w:firstLine="480" w:firstLineChars="0"/>
              <w:rPr>
                <w:rFonts w:hint="default" w:ascii="仿宋_GB2312" w:hAnsi="仿宋_GB2312" w:eastAsia="仿宋_GB2312" w:cs="仿宋_GB2312"/>
                <w:bCs/>
                <w:color w:val="000000" w:themeColor="text1"/>
                <w:kern w:val="2"/>
                <w:sz w:val="28"/>
                <w:highlight w:val="none"/>
                <w:lang w:val="en-US" w:eastAsia="zh-CN" w:bidi="ar-SA"/>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6B18F230">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37C95629">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4"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4"/>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5"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5"/>
    <w:p w14:paraId="656C4E7E">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6" w:name="_Toc33266914"/>
      <w:bookmarkStart w:id="7" w:name="_Toc33285487"/>
      <w:bookmarkStart w:id="8" w:name="_Toc33265653"/>
      <w:bookmarkStart w:id="9" w:name="_Toc33267001"/>
      <w:bookmarkStart w:id="10" w:name="_Toc33266627"/>
      <w:bookmarkStart w:id="11" w:name="_Toc33266950"/>
      <w:bookmarkStart w:id="12" w:name="_Toc33265752"/>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6"/>
      <w:bookmarkEnd w:id="7"/>
      <w:bookmarkEnd w:id="8"/>
      <w:bookmarkEnd w:id="9"/>
      <w:bookmarkEnd w:id="10"/>
      <w:bookmarkEnd w:id="11"/>
      <w:bookmarkEnd w:id="12"/>
      <w:bookmarkStart w:id="13" w:name="_Toc395116633"/>
    </w:p>
    <w:bookmarkEnd w:id="13"/>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4" w:name="_Toc395116634"/>
      <w:bookmarkStart w:id="15" w:name="_Toc33265654"/>
      <w:bookmarkStart w:id="16" w:name="_Toc33266628"/>
      <w:bookmarkStart w:id="17" w:name="_Toc33285489"/>
      <w:bookmarkStart w:id="18" w:name="_Toc33265753"/>
      <w:bookmarkStart w:id="19" w:name="_Toc33266951"/>
      <w:bookmarkStart w:id="20" w:name="_Toc33266915"/>
      <w:bookmarkStart w:id="21" w:name="_Toc33267002"/>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4"/>
    <w:bookmarkEnd w:id="15"/>
    <w:bookmarkEnd w:id="16"/>
    <w:bookmarkEnd w:id="17"/>
    <w:bookmarkEnd w:id="18"/>
    <w:bookmarkEnd w:id="19"/>
    <w:bookmarkEnd w:id="20"/>
    <w:bookmarkEnd w:id="21"/>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14:paraId="7502FAD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w:t>
      </w:r>
      <w:r>
        <w:rPr>
          <w:rFonts w:hint="eastAsia" w:hAnsi="宋体" w:eastAsia="宋体" w:cs="宋体"/>
          <w:color w:val="000000" w:themeColor="text1"/>
          <w:sz w:val="24"/>
          <w:szCs w:val="24"/>
          <w:highlight w:val="none"/>
          <w:lang w:val="en-US" w:eastAsia="zh-CN"/>
          <w14:textFill>
            <w14:solidFill>
              <w14:schemeClr w14:val="tx1"/>
            </w14:solidFill>
          </w14:textFill>
        </w:rPr>
        <w:t>投标限价</w:t>
      </w:r>
      <w:r>
        <w:rPr>
          <w:rFonts w:hint="eastAsia" w:hAnsi="宋体" w:eastAsia="宋体" w:cs="宋体"/>
          <w:color w:val="000000" w:themeColor="text1"/>
          <w:sz w:val="24"/>
          <w:szCs w:val="24"/>
          <w:highlight w:val="none"/>
          <w14:textFill>
            <w14:solidFill>
              <w14:schemeClr w14:val="tx1"/>
            </w14:solidFill>
          </w14:textFill>
        </w:rPr>
        <w:t>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2" w:name="OLE_LINK28"/>
      <w:bookmarkStart w:id="23" w:name="OLE_LINK25"/>
      <w:bookmarkStart w:id="24" w:name="OLE_LINK27"/>
      <w:bookmarkStart w:id="25" w:name="OLE_LINK26"/>
      <w:bookmarkStart w:id="26" w:name="OLE_LINK29"/>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2"/>
      <w:bookmarkEnd w:id="23"/>
      <w:bookmarkEnd w:id="24"/>
      <w:bookmarkEnd w:id="25"/>
      <w:bookmarkEnd w:id="26"/>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016A093D">
      <w:pPr>
        <w:spacing w:line="360" w:lineRule="auto"/>
        <w:ind w:right="2"/>
        <w:rPr>
          <w:rFonts w:ascii="Calibri" w:hAnsi="Calibri"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Calibri" w:hAnsi="Calibri" w:eastAsia="宋体" w:cs="Times New Roman"/>
          <w:color w:val="000000" w:themeColor="text1"/>
          <w:sz w:val="24"/>
          <w:szCs w:val="24"/>
          <w:highlight w:val="none"/>
          <w14:textFill>
            <w14:solidFill>
              <w14:schemeClr w14:val="tx1"/>
            </w14:solidFill>
          </w14:textFill>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18D8EB46">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7"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7"/>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8"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8"/>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29"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29"/>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0" w:name="OLE_LINK19"/>
      <w:bookmarkStart w:id="31" w:name="OLE_LINK18"/>
      <w:r>
        <w:rPr>
          <w:rFonts w:hint="eastAsia" w:ascii="宋体" w:hAnsi="宋体" w:eastAsia="宋体" w:cs="宋体"/>
          <w:b/>
          <w:color w:val="000000" w:themeColor="text1"/>
          <w:sz w:val="24"/>
          <w:szCs w:val="24"/>
          <w:highlight w:val="none"/>
          <w14:textFill>
            <w14:solidFill>
              <w14:schemeClr w14:val="tx1"/>
            </w14:solidFill>
          </w14:textFill>
        </w:rPr>
        <w:t>；</w:t>
      </w:r>
      <w:bookmarkEnd w:id="30"/>
      <w:bookmarkEnd w:id="31"/>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05C35A3C">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433606DF">
      <w:pPr>
        <w:keepNext/>
        <w:keepLines/>
        <w:jc w:val="center"/>
        <w:outlineLvl w:val="0"/>
        <w:rPr>
          <w:rFonts w:ascii="Calibri" w:hAnsi="Calibri" w:eastAsia="宋体" w:cs="Times New Roman"/>
          <w:b/>
          <w:bCs/>
          <w:kern w:val="44"/>
          <w:sz w:val="36"/>
          <w:szCs w:val="44"/>
        </w:rPr>
      </w:pPr>
      <w:bookmarkStart w:id="32" w:name="_Toc9849"/>
      <w:bookmarkStart w:id="33" w:name="_Toc28859"/>
      <w:r>
        <w:rPr>
          <w:rFonts w:hint="eastAsia" w:ascii="Calibri" w:hAnsi="Calibri" w:eastAsia="宋体" w:cs="Times New Roman"/>
          <w:b/>
          <w:bCs/>
          <w:kern w:val="44"/>
          <w:sz w:val="36"/>
          <w:szCs w:val="44"/>
        </w:rPr>
        <w:t>第四部分技术标书</w:t>
      </w:r>
      <w:bookmarkEnd w:id="32"/>
    </w:p>
    <w:p w14:paraId="0AB27EFE">
      <w:pPr>
        <w:pStyle w:val="16"/>
      </w:pPr>
    </w:p>
    <w:p w14:paraId="7CBE91EA">
      <w:pPr>
        <w:spacing w:line="276" w:lineRule="auto"/>
        <w:jc w:val="center"/>
        <w:rPr>
          <w:rFonts w:hint="eastAsia" w:ascii="Calibri" w:hAnsi="宋体" w:eastAsia="宋体" w:cs="Times New Roman"/>
          <w:b/>
          <w:bCs/>
          <w:color w:val="000000"/>
          <w:spacing w:val="-8"/>
          <w:sz w:val="48"/>
          <w:szCs w:val="44"/>
        </w:rPr>
      </w:pPr>
      <w:r>
        <w:rPr>
          <w:rFonts w:ascii="Calibri" w:hAnsi="宋体" w:eastAsia="宋体" w:cs="Times New Roman"/>
          <w:b/>
          <w:bCs/>
          <w:color w:val="000000"/>
          <w:spacing w:val="-8"/>
          <w:sz w:val="48"/>
          <w:szCs w:val="44"/>
        </w:rPr>
        <w:t>中国重汽集团大同齿轮有限公司</w:t>
      </w:r>
    </w:p>
    <w:p w14:paraId="6D5C8AC7">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更新电子汽车衡</w:t>
      </w:r>
      <w:r>
        <w:rPr>
          <w:rFonts w:ascii="Calibri" w:hAnsi="宋体" w:eastAsia="宋体" w:cs="Times New Roman"/>
          <w:b/>
          <w:bCs/>
          <w:color w:val="000000"/>
          <w:spacing w:val="-8"/>
          <w:sz w:val="48"/>
          <w:szCs w:val="44"/>
        </w:rPr>
        <w:t>项目</w:t>
      </w:r>
    </w:p>
    <w:p w14:paraId="1244F253">
      <w:pPr>
        <w:jc w:val="right"/>
        <w:rPr>
          <w:rFonts w:ascii="Calibri" w:hAnsi="Calibri" w:eastAsia="宋体" w:cs="Times New Roman"/>
          <w:color w:val="000000"/>
          <w:sz w:val="28"/>
          <w:szCs w:val="28"/>
        </w:rPr>
      </w:pPr>
    </w:p>
    <w:p w14:paraId="7A1121B5">
      <w:pPr>
        <w:pStyle w:val="16"/>
      </w:pPr>
    </w:p>
    <w:p w14:paraId="7E47087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061DF823">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46C4FDE7">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0E4D60AF">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4982E447">
      <w:pPr>
        <w:pStyle w:val="16"/>
      </w:pPr>
    </w:p>
    <w:p w14:paraId="3D7C554E">
      <w:pPr>
        <w:pStyle w:val="16"/>
        <w:rPr>
          <w:rFonts w:hint="eastAsia" w:ascii="黑体" w:hAnsi="宋体" w:eastAsia="黑体" w:cs="Times New Roman"/>
          <w:color w:val="000000"/>
          <w:sz w:val="72"/>
          <w:szCs w:val="72"/>
        </w:rPr>
      </w:pPr>
    </w:p>
    <w:p w14:paraId="65E15F2F">
      <w:pPr>
        <w:pStyle w:val="16"/>
        <w:rPr>
          <w:rFonts w:hint="eastAsia" w:ascii="黑体" w:hAnsi="宋体" w:eastAsia="黑体" w:cs="Times New Roman"/>
          <w:color w:val="000000"/>
          <w:sz w:val="72"/>
          <w:szCs w:val="72"/>
        </w:rPr>
      </w:pPr>
    </w:p>
    <w:p w14:paraId="120D83B7">
      <w:pPr>
        <w:spacing w:line="860" w:lineRule="exact"/>
        <w:ind w:firstLine="2723" w:firstLineChars="850"/>
        <w:rPr>
          <w:rFonts w:hint="eastAsia" w:ascii="华文仿宋" w:hAnsi="华文仿宋" w:eastAsia="华文仿宋"/>
          <w:b/>
          <w:bCs/>
          <w:sz w:val="32"/>
          <w:szCs w:val="28"/>
        </w:rPr>
      </w:pPr>
      <w:r>
        <w:rPr>
          <w:rFonts w:hint="eastAsia" w:ascii="华文仿宋" w:hAnsi="华文仿宋" w:eastAsia="华文仿宋"/>
          <w:b/>
          <w:bCs/>
          <w:sz w:val="32"/>
          <w:szCs w:val="28"/>
        </w:rPr>
        <w:t xml:space="preserve">编制：  赵子炯         </w:t>
      </w:r>
    </w:p>
    <w:p w14:paraId="2B82BDB4">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陈秋里          </w:t>
      </w:r>
    </w:p>
    <w:p w14:paraId="51B45B09">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杨更青  </w:t>
      </w:r>
    </w:p>
    <w:p w14:paraId="0F154E66">
      <w:pPr>
        <w:pStyle w:val="16"/>
        <w:rPr>
          <w:b/>
          <w:bCs/>
        </w:rPr>
      </w:pPr>
    </w:p>
    <w:p w14:paraId="42FF09A5">
      <w:pPr>
        <w:jc w:val="center"/>
        <w:rPr>
          <w:rFonts w:hint="eastAsia" w:ascii="宋体" w:hAnsi="宋体" w:eastAsia="宋体" w:cs="Times New Roman"/>
          <w:color w:val="000000"/>
          <w:sz w:val="28"/>
          <w:szCs w:val="28"/>
        </w:rPr>
      </w:pPr>
    </w:p>
    <w:p w14:paraId="6817A24F">
      <w:pPr>
        <w:jc w:val="center"/>
        <w:rPr>
          <w:rFonts w:hint="eastAsia" w:ascii="宋体" w:hAnsi="宋体" w:eastAsia="宋体" w:cs="Times New Roman"/>
          <w:color w:val="000000"/>
          <w:sz w:val="28"/>
          <w:szCs w:val="28"/>
        </w:rPr>
      </w:pPr>
    </w:p>
    <w:p w14:paraId="67D4E6B3">
      <w:pPr>
        <w:jc w:val="center"/>
        <w:rPr>
          <w:rFonts w:hint="eastAsia" w:ascii="宋体" w:hAnsi="宋体" w:eastAsia="宋体" w:cs="Times New Roman"/>
          <w:color w:val="000000"/>
          <w:sz w:val="28"/>
          <w:szCs w:val="28"/>
        </w:rPr>
      </w:pPr>
    </w:p>
    <w:p w14:paraId="6FC3904C">
      <w:pPr>
        <w:jc w:val="center"/>
        <w:rPr>
          <w:rFonts w:hint="eastAsia" w:ascii="宋体" w:hAnsi="宋体" w:eastAsia="宋体" w:cs="Times New Roman"/>
          <w:color w:val="000000"/>
          <w:sz w:val="28"/>
          <w:szCs w:val="28"/>
        </w:rPr>
      </w:pPr>
    </w:p>
    <w:p w14:paraId="3F6D68A2">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招标人：中国重汽集团大同齿轮有限公司</w:t>
      </w:r>
    </w:p>
    <w:p w14:paraId="6353F6E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14:paraId="2734C767">
      <w:pPr>
        <w:widowControl/>
        <w:jc w:val="center"/>
        <w:rPr>
          <w:rFonts w:hint="eastAsia" w:ascii="黑体" w:hAnsi="宋体" w:eastAsia="黑体" w:cs="黑体"/>
          <w:kern w:val="0"/>
          <w:sz w:val="30"/>
          <w:szCs w:val="30"/>
        </w:rPr>
      </w:pPr>
    </w:p>
    <w:p w14:paraId="2ED28413">
      <w:pPr>
        <w:widowControl/>
        <w:jc w:val="center"/>
        <w:rPr>
          <w:b/>
        </w:rPr>
      </w:pPr>
      <w:r>
        <w:rPr>
          <w:rFonts w:hint="eastAsia" w:ascii="黑体" w:hAnsi="宋体" w:eastAsia="黑体" w:cs="黑体"/>
          <w:b/>
          <w:kern w:val="0"/>
          <w:sz w:val="24"/>
        </w:rPr>
        <w:t>第一章采购货物概况</w:t>
      </w:r>
    </w:p>
    <w:p w14:paraId="5D219595">
      <w:pPr>
        <w:widowControl/>
        <w:jc w:val="center"/>
        <w:rPr>
          <w:b/>
        </w:rPr>
      </w:pPr>
      <w:r>
        <w:rPr>
          <w:rFonts w:hint="eastAsia" w:ascii="黑体" w:hAnsi="宋体" w:eastAsia="黑体" w:cs="黑体"/>
          <w:b/>
          <w:kern w:val="0"/>
          <w:sz w:val="24"/>
        </w:rPr>
        <w:t>第一节使用环境</w:t>
      </w:r>
    </w:p>
    <w:p w14:paraId="6C74564F">
      <w:pPr>
        <w:widowControl/>
        <w:ind w:left="479" w:leftChars="228"/>
        <w:jc w:val="left"/>
        <w:rPr>
          <w:rFonts w:hint="eastAsia" w:ascii="宋体" w:hAnsi="宋体" w:eastAsia="宋体" w:cs="宋体"/>
          <w:kern w:val="0"/>
          <w:sz w:val="24"/>
        </w:rPr>
      </w:pPr>
      <w:r>
        <w:rPr>
          <w:rFonts w:hint="eastAsia" w:ascii="宋体" w:hAnsi="宋体" w:eastAsia="宋体" w:cs="宋体"/>
          <w:kern w:val="0"/>
          <w:sz w:val="24"/>
        </w:rPr>
        <w:t>1 项目名称：</w:t>
      </w:r>
      <w:r>
        <w:rPr>
          <w:rFonts w:ascii="宋体" w:hAnsi="宋体" w:eastAsia="宋体" w:cs="宋体"/>
          <w:kern w:val="0"/>
          <w:sz w:val="24"/>
        </w:rPr>
        <w:t>中国重汽集团大同齿轮有限公司</w:t>
      </w:r>
      <w:r>
        <w:rPr>
          <w:rFonts w:hint="eastAsia" w:ascii="宋体" w:hAnsi="宋体" w:eastAsia="宋体" w:cs="宋体"/>
          <w:kern w:val="0"/>
          <w:sz w:val="24"/>
        </w:rPr>
        <w:t>更新电子汽车衡</w:t>
      </w:r>
      <w:r>
        <w:rPr>
          <w:rFonts w:ascii="宋体" w:hAnsi="宋体" w:eastAsia="宋体" w:cs="宋体"/>
          <w:kern w:val="0"/>
          <w:sz w:val="24"/>
        </w:rPr>
        <w:t>采购项目</w:t>
      </w:r>
    </w:p>
    <w:p w14:paraId="46200517">
      <w:pPr>
        <w:widowControl/>
        <w:ind w:left="479" w:leftChars="228"/>
        <w:jc w:val="left"/>
      </w:pPr>
      <w:r>
        <w:rPr>
          <w:rFonts w:hint="eastAsia" w:ascii="宋体" w:hAnsi="宋体" w:eastAsia="宋体" w:cs="宋体"/>
          <w:kern w:val="0"/>
          <w:sz w:val="24"/>
        </w:rPr>
        <w:t>2 建设地点：山西省大同市装备制造园区中国重汽集团大同齿轮有限公司</w:t>
      </w:r>
    </w:p>
    <w:p w14:paraId="55702EE0">
      <w:pPr>
        <w:widowControl/>
        <w:ind w:firstLine="480" w:firstLineChars="200"/>
        <w:jc w:val="left"/>
      </w:pPr>
      <w:r>
        <w:rPr>
          <w:rFonts w:hint="eastAsia" w:ascii="宋体" w:hAnsi="宋体" w:eastAsia="宋体" w:cs="宋体"/>
          <w:kern w:val="0"/>
          <w:sz w:val="24"/>
        </w:rPr>
        <w:t>3 使用地点：山西省大同市装备制造园区中国重汽集团大同齿轮有限公司</w:t>
      </w:r>
    </w:p>
    <w:p w14:paraId="4BC33A51">
      <w:pPr>
        <w:widowControl/>
        <w:ind w:firstLine="480" w:firstLineChars="200"/>
        <w:jc w:val="left"/>
      </w:pPr>
      <w:r>
        <w:rPr>
          <w:rFonts w:hint="eastAsia" w:ascii="宋体" w:hAnsi="宋体" w:eastAsia="宋体" w:cs="宋体"/>
          <w:kern w:val="0"/>
          <w:sz w:val="24"/>
        </w:rPr>
        <w:t xml:space="preserve">4 工作制度：全年工作 251 天、 </w:t>
      </w:r>
      <w:r>
        <w:rPr>
          <w:rFonts w:ascii="宋体" w:hAnsi="宋体" w:eastAsia="宋体" w:cs="宋体"/>
          <w:kern w:val="0"/>
          <w:sz w:val="24"/>
        </w:rPr>
        <w:t>2</w:t>
      </w:r>
      <w:r>
        <w:rPr>
          <w:rFonts w:hint="eastAsia" w:ascii="宋体" w:hAnsi="宋体" w:eastAsia="宋体" w:cs="宋体"/>
          <w:kern w:val="0"/>
          <w:sz w:val="24"/>
        </w:rPr>
        <w:t>班制、设备年时基数 3514 小时</w:t>
      </w:r>
    </w:p>
    <w:p w14:paraId="1BA10155">
      <w:pPr>
        <w:widowControl/>
        <w:ind w:firstLine="480" w:firstLineChars="200"/>
        <w:jc w:val="left"/>
      </w:pPr>
      <w:r>
        <w:rPr>
          <w:rFonts w:hint="eastAsia" w:ascii="宋体" w:hAnsi="宋体" w:eastAsia="宋体" w:cs="宋体"/>
          <w:kern w:val="0"/>
          <w:sz w:val="24"/>
        </w:rPr>
        <w:t>5 使用地点区域自然环境：</w:t>
      </w:r>
    </w:p>
    <w:p w14:paraId="0ABCCD6F">
      <w:pPr>
        <w:widowControl/>
        <w:ind w:firstLine="480" w:firstLineChars="200"/>
        <w:jc w:val="left"/>
      </w:pPr>
      <w:r>
        <w:rPr>
          <w:rFonts w:hint="eastAsia" w:ascii="宋体" w:hAnsi="宋体" w:eastAsia="宋体" w:cs="宋体"/>
          <w:kern w:val="0"/>
          <w:sz w:val="24"/>
        </w:rPr>
        <w:t>5.1 海拨高度：1</w:t>
      </w:r>
      <w:r>
        <w:rPr>
          <w:rFonts w:ascii="宋体" w:hAnsi="宋体" w:eastAsia="宋体" w:cs="宋体"/>
          <w:kern w:val="0"/>
          <w:sz w:val="24"/>
        </w:rPr>
        <w:t>5</w:t>
      </w:r>
      <w:r>
        <w:rPr>
          <w:rFonts w:hint="eastAsia" w:ascii="宋体" w:hAnsi="宋体" w:eastAsia="宋体" w:cs="宋体"/>
          <w:kern w:val="0"/>
          <w:sz w:val="24"/>
        </w:rPr>
        <w:t>00m 以下。</w:t>
      </w:r>
    </w:p>
    <w:p w14:paraId="0821CD9B">
      <w:pPr>
        <w:widowControl/>
        <w:ind w:firstLine="480" w:firstLineChars="200"/>
        <w:jc w:val="left"/>
      </w:pPr>
      <w:r>
        <w:rPr>
          <w:rFonts w:hint="eastAsia" w:ascii="宋体" w:hAnsi="宋体" w:eastAsia="宋体" w:cs="宋体"/>
          <w:kern w:val="0"/>
          <w:sz w:val="24"/>
        </w:rPr>
        <w:t>5.2 环境温度：室外极端最低温度-35℃、极端最高温度 42℃，昼夜最大温差25℃；厂房内温度 5～40℃。</w:t>
      </w:r>
    </w:p>
    <w:p w14:paraId="13D96237">
      <w:pPr>
        <w:widowControl/>
        <w:ind w:firstLine="480" w:firstLineChars="200"/>
        <w:jc w:val="left"/>
      </w:pPr>
      <w:r>
        <w:rPr>
          <w:rFonts w:hint="eastAsia" w:ascii="宋体" w:hAnsi="宋体" w:eastAsia="宋体" w:cs="宋体"/>
          <w:kern w:val="0"/>
          <w:sz w:val="24"/>
        </w:rPr>
        <w:t>5.3 相对湿度：年平均 59%，最大 95%、最小 15%。</w:t>
      </w:r>
    </w:p>
    <w:p w14:paraId="1599A695">
      <w:pPr>
        <w:widowControl/>
        <w:ind w:firstLine="480" w:firstLineChars="200"/>
        <w:jc w:val="left"/>
      </w:pPr>
      <w:r>
        <w:rPr>
          <w:rFonts w:hint="eastAsia" w:ascii="宋体" w:hAnsi="宋体" w:eastAsia="宋体" w:cs="宋体"/>
          <w:kern w:val="0"/>
          <w:sz w:val="24"/>
        </w:rPr>
        <w:t>5.4 地震裂度：七度。</w:t>
      </w:r>
    </w:p>
    <w:p w14:paraId="42986A5C">
      <w:pPr>
        <w:widowControl/>
        <w:ind w:firstLine="480" w:firstLineChars="200"/>
        <w:jc w:val="left"/>
      </w:pPr>
      <w:r>
        <w:rPr>
          <w:rFonts w:hint="eastAsia" w:ascii="宋体" w:hAnsi="宋体" w:eastAsia="宋体" w:cs="宋体"/>
          <w:kern w:val="0"/>
          <w:sz w:val="24"/>
        </w:rPr>
        <w:t>6 能源环境：</w:t>
      </w:r>
    </w:p>
    <w:p w14:paraId="6C352928">
      <w:pPr>
        <w:widowControl/>
        <w:ind w:firstLine="480" w:firstLineChars="200"/>
        <w:jc w:val="left"/>
      </w:pPr>
      <w:r>
        <w:rPr>
          <w:rFonts w:hint="eastAsia" w:ascii="宋体" w:hAnsi="宋体" w:eastAsia="宋体" w:cs="宋体"/>
          <w:kern w:val="0"/>
          <w:sz w:val="24"/>
        </w:rPr>
        <w:t>6.1 电力：中国制式（三项五线制），供电电压 380V±15%/220V±15%，供电频率 50Hz±2%。</w:t>
      </w:r>
    </w:p>
    <w:p w14:paraId="4E78C649">
      <w:pPr>
        <w:widowControl/>
        <w:ind w:firstLine="480" w:firstLineChars="200"/>
        <w:jc w:val="left"/>
      </w:pPr>
      <w:r>
        <w:rPr>
          <w:rFonts w:hint="eastAsia" w:ascii="宋体" w:hAnsi="宋体" w:eastAsia="宋体" w:cs="宋体"/>
          <w:kern w:val="0"/>
          <w:sz w:val="24"/>
        </w:rPr>
        <w:t>6.2 给水：市政自来水。</w:t>
      </w:r>
    </w:p>
    <w:p w14:paraId="0A5BC7F2">
      <w:pPr>
        <w:widowControl/>
        <w:ind w:firstLine="480" w:firstLineChars="200"/>
        <w:jc w:val="left"/>
      </w:pPr>
      <w:r>
        <w:rPr>
          <w:rFonts w:hint="eastAsia" w:ascii="宋体" w:hAnsi="宋体" w:eastAsia="宋体" w:cs="宋体"/>
          <w:kern w:val="0"/>
          <w:sz w:val="24"/>
        </w:rPr>
        <w:t>6.3 压缩空气：买方自备空压机自产压缩空气，0.5±0.1MPa。</w:t>
      </w:r>
    </w:p>
    <w:p w14:paraId="7E125831">
      <w:pPr>
        <w:widowControl/>
        <w:ind w:firstLine="480" w:firstLineChars="200"/>
        <w:jc w:val="left"/>
      </w:pPr>
      <w:r>
        <w:rPr>
          <w:rFonts w:hint="eastAsia" w:ascii="宋体" w:hAnsi="宋体" w:eastAsia="宋体" w:cs="宋体"/>
          <w:kern w:val="0"/>
          <w:sz w:val="24"/>
        </w:rPr>
        <w:t>6.4 天然气：市政天然气。</w:t>
      </w:r>
    </w:p>
    <w:p w14:paraId="20CE425E">
      <w:pPr>
        <w:widowControl/>
        <w:jc w:val="center"/>
      </w:pPr>
      <w:r>
        <w:rPr>
          <w:rFonts w:hint="eastAsia" w:ascii="黑体" w:hAnsi="宋体" w:eastAsia="黑体" w:cs="黑体"/>
          <w:kern w:val="0"/>
          <w:sz w:val="24"/>
        </w:rPr>
        <w:t>第二节采购货物概况</w:t>
      </w:r>
    </w:p>
    <w:p w14:paraId="23D4DFA6">
      <w:pPr>
        <w:widowControl/>
        <w:ind w:firstLine="480" w:firstLineChars="200"/>
        <w:jc w:val="left"/>
      </w:pPr>
      <w:r>
        <w:rPr>
          <w:rFonts w:hint="eastAsia" w:ascii="宋体" w:hAnsi="宋体" w:eastAsia="宋体" w:cs="宋体"/>
          <w:kern w:val="0"/>
          <w:sz w:val="24"/>
        </w:rPr>
        <w:t>1 设备名称：电子汽车衡（详见下表）</w:t>
      </w:r>
    </w:p>
    <w:p w14:paraId="3894B26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 设备数量：1（详见下表）</w:t>
      </w:r>
    </w:p>
    <w:p w14:paraId="3B8DF89C">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 分投分中：不允许</w:t>
      </w:r>
    </w:p>
    <w:p w14:paraId="5087398F">
      <w:pPr>
        <w:widowControl/>
        <w:jc w:val="center"/>
      </w:pPr>
      <w:r>
        <w:rPr>
          <w:rFonts w:hint="eastAsia" w:ascii="宋体" w:hAnsi="宋体" w:eastAsia="宋体" w:cs="宋体"/>
          <w:kern w:val="0"/>
          <w:sz w:val="24"/>
        </w:rPr>
        <w:t>采购货物主要构成一览表</w:t>
      </w:r>
    </w:p>
    <w:tbl>
      <w:tblPr>
        <w:tblStyle w:val="36"/>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227"/>
        <w:gridCol w:w="1469"/>
        <w:gridCol w:w="980"/>
        <w:gridCol w:w="810"/>
        <w:gridCol w:w="2694"/>
        <w:gridCol w:w="1476"/>
      </w:tblGrid>
      <w:tr w14:paraId="7B4C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648" w:type="dxa"/>
            <w:vAlign w:val="center"/>
          </w:tcPr>
          <w:p w14:paraId="6EB80853">
            <w:pPr>
              <w:widowControl/>
              <w:jc w:val="center"/>
            </w:pPr>
            <w:r>
              <w:rPr>
                <w:rFonts w:hint="eastAsia" w:ascii="宋体" w:hAnsi="宋体" w:eastAsia="宋体" w:cs="宋体"/>
                <w:kern w:val="0"/>
                <w:sz w:val="20"/>
                <w:szCs w:val="20"/>
              </w:rPr>
              <w:t>序号</w:t>
            </w:r>
          </w:p>
        </w:tc>
        <w:tc>
          <w:tcPr>
            <w:tcW w:w="1227" w:type="dxa"/>
            <w:vAlign w:val="center"/>
          </w:tcPr>
          <w:p w14:paraId="25244F24">
            <w:pPr>
              <w:widowControl/>
              <w:jc w:val="center"/>
            </w:pPr>
            <w:r>
              <w:rPr>
                <w:rFonts w:hint="eastAsia" w:ascii="宋体" w:hAnsi="宋体" w:eastAsia="宋体" w:cs="宋体"/>
                <w:kern w:val="0"/>
                <w:sz w:val="20"/>
                <w:szCs w:val="20"/>
              </w:rPr>
              <w:t>名称</w:t>
            </w:r>
          </w:p>
        </w:tc>
        <w:tc>
          <w:tcPr>
            <w:tcW w:w="1469" w:type="dxa"/>
            <w:vAlign w:val="center"/>
          </w:tcPr>
          <w:p w14:paraId="7CFCDCA2">
            <w:pPr>
              <w:widowControl/>
              <w:jc w:val="center"/>
              <w:rPr>
                <w:rFonts w:hint="eastAsia" w:eastAsiaTheme="minorEastAsia"/>
                <w:lang w:eastAsia="zh-CN"/>
              </w:rPr>
            </w:pPr>
            <w:r>
              <w:rPr>
                <w:rFonts w:hint="eastAsia" w:ascii="宋体" w:hAnsi="宋体" w:eastAsia="宋体" w:cs="宋体"/>
                <w:kern w:val="0"/>
                <w:sz w:val="20"/>
                <w:szCs w:val="20"/>
                <w:lang w:val="en-US" w:eastAsia="zh-CN"/>
              </w:rPr>
              <w:t>规格</w:t>
            </w:r>
          </w:p>
        </w:tc>
        <w:tc>
          <w:tcPr>
            <w:tcW w:w="980" w:type="dxa"/>
            <w:vAlign w:val="center"/>
          </w:tcPr>
          <w:p w14:paraId="0BA93AC6">
            <w:pPr>
              <w:widowControl/>
              <w:jc w:val="center"/>
            </w:pPr>
            <w:r>
              <w:rPr>
                <w:rFonts w:hint="eastAsia" w:ascii="宋体" w:hAnsi="宋体" w:eastAsia="宋体" w:cs="宋体"/>
                <w:kern w:val="0"/>
                <w:sz w:val="20"/>
                <w:szCs w:val="20"/>
              </w:rPr>
              <w:t>单位</w:t>
            </w:r>
          </w:p>
        </w:tc>
        <w:tc>
          <w:tcPr>
            <w:tcW w:w="810" w:type="dxa"/>
            <w:vAlign w:val="center"/>
          </w:tcPr>
          <w:p w14:paraId="76408496">
            <w:pPr>
              <w:widowControl/>
              <w:jc w:val="center"/>
            </w:pPr>
            <w:r>
              <w:rPr>
                <w:rFonts w:hint="eastAsia" w:ascii="宋体" w:hAnsi="宋体" w:eastAsia="宋体" w:cs="宋体"/>
                <w:kern w:val="0"/>
                <w:sz w:val="20"/>
                <w:szCs w:val="20"/>
              </w:rPr>
              <w:t>数量</w:t>
            </w:r>
          </w:p>
        </w:tc>
        <w:tc>
          <w:tcPr>
            <w:tcW w:w="2694" w:type="dxa"/>
            <w:vAlign w:val="center"/>
          </w:tcPr>
          <w:p w14:paraId="2D2943B1">
            <w:pPr>
              <w:widowControl/>
              <w:jc w:val="center"/>
              <w:rPr>
                <w:rFonts w:hint="eastAsia" w:eastAsiaTheme="minorEastAsia"/>
                <w:lang w:eastAsia="zh-CN"/>
              </w:rPr>
            </w:pPr>
            <w:r>
              <w:rPr>
                <w:rFonts w:hint="eastAsia" w:ascii="宋体" w:hAnsi="宋体" w:eastAsia="宋体" w:cs="宋体"/>
                <w:kern w:val="0"/>
                <w:sz w:val="20"/>
                <w:szCs w:val="20"/>
                <w:lang w:val="en-US" w:eastAsia="zh-CN"/>
              </w:rPr>
              <w:t>要求</w:t>
            </w:r>
          </w:p>
        </w:tc>
        <w:tc>
          <w:tcPr>
            <w:tcW w:w="1476" w:type="dxa"/>
            <w:vAlign w:val="center"/>
          </w:tcPr>
          <w:p w14:paraId="3A0B0286">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rPr>
              <w:t>安装地点/服务对象</w:t>
            </w:r>
          </w:p>
        </w:tc>
      </w:tr>
      <w:tr w14:paraId="518C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648" w:type="dxa"/>
            <w:vAlign w:val="center"/>
          </w:tcPr>
          <w:p w14:paraId="36F5EED9">
            <w:pPr>
              <w:widowControl/>
              <w:jc w:val="center"/>
            </w:pPr>
            <w:r>
              <w:rPr>
                <w:rFonts w:hint="eastAsia" w:ascii="宋体" w:hAnsi="宋体" w:eastAsia="宋体" w:cs="宋体"/>
                <w:kern w:val="0"/>
                <w:sz w:val="20"/>
                <w:szCs w:val="20"/>
              </w:rPr>
              <w:t>1</w:t>
            </w:r>
          </w:p>
        </w:tc>
        <w:tc>
          <w:tcPr>
            <w:tcW w:w="1227" w:type="dxa"/>
            <w:vAlign w:val="center"/>
          </w:tcPr>
          <w:p w14:paraId="13D8DABE">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电子汽车衡</w:t>
            </w:r>
          </w:p>
        </w:tc>
        <w:tc>
          <w:tcPr>
            <w:tcW w:w="1469" w:type="dxa"/>
            <w:vAlign w:val="center"/>
          </w:tcPr>
          <w:p w14:paraId="5EAF672E">
            <w:pPr>
              <w:spacing w:line="360" w:lineRule="exact"/>
              <w:jc w:val="center"/>
              <w:rPr>
                <w:rFonts w:hint="eastAsia" w:ascii="宋体" w:hAnsi="宋体" w:eastAsia="宋体" w:cs="宋体"/>
                <w:sz w:val="20"/>
                <w:szCs w:val="20"/>
                <w:highlight w:val="none"/>
              </w:rPr>
            </w:pPr>
            <w:r>
              <w:rPr>
                <w:rFonts w:hint="eastAsia" w:ascii="宋体" w:hAnsi="宋体" w:eastAsia="宋体" w:cs="宋体"/>
                <w:sz w:val="20"/>
                <w:szCs w:val="20"/>
                <w:highlight w:val="none"/>
              </w:rPr>
              <w:t>见第二章</w:t>
            </w:r>
          </w:p>
          <w:p w14:paraId="5B61D6E3">
            <w:pPr>
              <w:widowControl/>
              <w:jc w:val="center"/>
              <w:rPr>
                <w:sz w:val="20"/>
                <w:szCs w:val="20"/>
              </w:rPr>
            </w:pPr>
            <w:r>
              <w:rPr>
                <w:rFonts w:hint="eastAsia" w:ascii="宋体" w:hAnsi="宋体" w:eastAsia="宋体" w:cs="宋体"/>
                <w:sz w:val="20"/>
                <w:szCs w:val="20"/>
                <w:highlight w:val="none"/>
              </w:rPr>
              <w:t>技术要求</w:t>
            </w:r>
          </w:p>
        </w:tc>
        <w:tc>
          <w:tcPr>
            <w:tcW w:w="980" w:type="dxa"/>
            <w:vAlign w:val="center"/>
          </w:tcPr>
          <w:p w14:paraId="6CB20510">
            <w:pPr>
              <w:widowControl/>
              <w:jc w:val="center"/>
              <w:rPr>
                <w:sz w:val="20"/>
                <w:szCs w:val="20"/>
              </w:rPr>
            </w:pPr>
            <w:r>
              <w:rPr>
                <w:rFonts w:hint="eastAsia" w:ascii="宋体" w:hAnsi="宋体" w:eastAsia="宋体" w:cs="宋体"/>
                <w:kern w:val="0"/>
                <w:sz w:val="20"/>
                <w:szCs w:val="20"/>
              </w:rPr>
              <w:t>台</w:t>
            </w:r>
          </w:p>
        </w:tc>
        <w:tc>
          <w:tcPr>
            <w:tcW w:w="810" w:type="dxa"/>
            <w:vAlign w:val="center"/>
          </w:tcPr>
          <w:p w14:paraId="04792364">
            <w:pPr>
              <w:widowControl/>
              <w:jc w:val="center"/>
              <w:rPr>
                <w:sz w:val="20"/>
                <w:szCs w:val="20"/>
              </w:rPr>
            </w:pPr>
            <w:r>
              <w:rPr>
                <w:rFonts w:hint="eastAsia" w:ascii="宋体" w:hAnsi="宋体" w:eastAsia="宋体" w:cs="宋体"/>
                <w:kern w:val="0"/>
                <w:sz w:val="20"/>
                <w:szCs w:val="20"/>
              </w:rPr>
              <w:t>1</w:t>
            </w:r>
          </w:p>
        </w:tc>
        <w:tc>
          <w:tcPr>
            <w:tcW w:w="2694" w:type="dxa"/>
            <w:vAlign w:val="center"/>
          </w:tcPr>
          <w:p w14:paraId="1C47DF9E">
            <w:pPr>
              <w:widowControl/>
              <w:jc w:val="center"/>
              <w:rPr>
                <w:sz w:val="20"/>
                <w:szCs w:val="20"/>
              </w:rPr>
            </w:pPr>
            <w:r>
              <w:rPr>
                <w:rFonts w:hint="eastAsia" w:ascii="宋体" w:hAnsi="宋体" w:eastAsia="宋体" w:cs="宋体"/>
                <w:kern w:val="0"/>
                <w:sz w:val="20"/>
                <w:szCs w:val="20"/>
              </w:rPr>
              <w:t>交钥匙</w:t>
            </w:r>
            <w:r>
              <w:rPr>
                <w:rFonts w:hint="eastAsia" w:ascii="宋体" w:hAnsi="宋体" w:eastAsia="宋体" w:cs="宋体"/>
                <w:kern w:val="0"/>
                <w:sz w:val="20"/>
                <w:szCs w:val="20"/>
                <w:lang w:val="en-US" w:eastAsia="zh-CN"/>
              </w:rPr>
              <w:t>工程，</w:t>
            </w:r>
            <w:r>
              <w:rPr>
                <w:rFonts w:hint="eastAsia" w:ascii="宋体" w:hAnsi="宋体" w:eastAsia="宋体" w:cs="宋体"/>
                <w:sz w:val="20"/>
                <w:szCs w:val="20"/>
                <w:highlight w:val="none"/>
              </w:rPr>
              <w:t>地上型，含安装、调试，首次计量检定</w:t>
            </w:r>
          </w:p>
        </w:tc>
        <w:tc>
          <w:tcPr>
            <w:tcW w:w="1476" w:type="dxa"/>
            <w:vMerge w:val="restart"/>
            <w:vAlign w:val="center"/>
          </w:tcPr>
          <w:p w14:paraId="4DC675FA">
            <w:pPr>
              <w:widowControl/>
              <w:jc w:val="center"/>
              <w:rPr>
                <w:rFonts w:hint="eastAsia" w:ascii="宋体" w:hAnsi="宋体" w:eastAsia="宋体" w:cs="宋体"/>
                <w:kern w:val="0"/>
                <w:sz w:val="20"/>
                <w:szCs w:val="20"/>
              </w:rPr>
            </w:pPr>
            <w:r>
              <w:rPr>
                <w:rFonts w:hint="eastAsia" w:ascii="宋体" w:hAnsi="宋体" w:eastAsia="宋体" w:cs="宋体"/>
                <w:color w:val="000000"/>
                <w:kern w:val="0"/>
                <w:sz w:val="20"/>
                <w:szCs w:val="20"/>
              </w:rPr>
              <w:t>山西省大同市装备制造园区中国重汽集团大同齿轮有限公司</w:t>
            </w:r>
          </w:p>
        </w:tc>
      </w:tr>
      <w:tr w14:paraId="24C3F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648" w:type="dxa"/>
            <w:vAlign w:val="center"/>
          </w:tcPr>
          <w:p w14:paraId="0ED1CC8A">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w:t>
            </w:r>
          </w:p>
        </w:tc>
        <w:tc>
          <w:tcPr>
            <w:tcW w:w="1227" w:type="dxa"/>
            <w:vAlign w:val="center"/>
          </w:tcPr>
          <w:p w14:paraId="7554920D">
            <w:pPr>
              <w:widowControl/>
              <w:jc w:val="center"/>
              <w:rPr>
                <w:rFonts w:hint="eastAsia" w:ascii="宋体" w:hAnsi="宋体" w:eastAsia="宋体" w:cs="宋体"/>
                <w:kern w:val="0"/>
                <w:sz w:val="20"/>
                <w:szCs w:val="20"/>
              </w:rPr>
            </w:pPr>
            <w:r>
              <w:rPr>
                <w:rFonts w:hint="eastAsia" w:ascii="宋体" w:hAnsi="宋体" w:eastAsia="宋体" w:cs="宋体"/>
                <w:sz w:val="20"/>
                <w:szCs w:val="20"/>
                <w:highlight w:val="none"/>
              </w:rPr>
              <w:t>设备基础</w:t>
            </w:r>
          </w:p>
        </w:tc>
        <w:tc>
          <w:tcPr>
            <w:tcW w:w="1469" w:type="dxa"/>
            <w:vAlign w:val="center"/>
          </w:tcPr>
          <w:p w14:paraId="3E7432AA">
            <w:pPr>
              <w:widowControl/>
              <w:jc w:val="center"/>
              <w:rPr>
                <w:rFonts w:hint="eastAsia" w:ascii="宋体" w:hAnsi="宋体" w:eastAsia="宋体" w:cs="宋体"/>
                <w:color w:val="000000"/>
                <w:kern w:val="0"/>
                <w:sz w:val="20"/>
                <w:szCs w:val="20"/>
              </w:rPr>
            </w:pPr>
            <w:r>
              <w:rPr>
                <w:rFonts w:hint="eastAsia" w:ascii="宋体" w:hAnsi="宋体" w:eastAsia="宋体" w:cs="宋体"/>
                <w:sz w:val="20"/>
                <w:szCs w:val="20"/>
                <w:highlight w:val="none"/>
              </w:rPr>
              <w:t>非标</w:t>
            </w:r>
          </w:p>
        </w:tc>
        <w:tc>
          <w:tcPr>
            <w:tcW w:w="980" w:type="dxa"/>
            <w:vAlign w:val="center"/>
          </w:tcPr>
          <w:p w14:paraId="1D184722">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套</w:t>
            </w:r>
          </w:p>
        </w:tc>
        <w:tc>
          <w:tcPr>
            <w:tcW w:w="810" w:type="dxa"/>
            <w:vAlign w:val="center"/>
          </w:tcPr>
          <w:p w14:paraId="40718870">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w:t>
            </w:r>
          </w:p>
        </w:tc>
        <w:tc>
          <w:tcPr>
            <w:tcW w:w="2694" w:type="dxa"/>
            <w:vAlign w:val="center"/>
          </w:tcPr>
          <w:p w14:paraId="19D7F1F3">
            <w:pPr>
              <w:widowControl/>
              <w:jc w:val="center"/>
              <w:rPr>
                <w:rFonts w:hint="default" w:ascii="宋体" w:hAnsi="宋体" w:eastAsia="宋体" w:cs="宋体"/>
                <w:kern w:val="0"/>
                <w:sz w:val="20"/>
                <w:szCs w:val="20"/>
                <w:lang w:val="en-US" w:eastAsia="zh-CN"/>
              </w:rPr>
            </w:pPr>
            <w:r>
              <w:rPr>
                <w:rFonts w:hint="eastAsia" w:ascii="宋体" w:hAnsi="宋体" w:eastAsia="宋体" w:cs="宋体"/>
                <w:sz w:val="20"/>
                <w:szCs w:val="20"/>
                <w:highlight w:val="none"/>
              </w:rPr>
              <w:t>中标方负责</w:t>
            </w:r>
            <w:r>
              <w:rPr>
                <w:rFonts w:hint="eastAsia" w:ascii="宋体" w:hAnsi="宋体" w:eastAsia="宋体" w:cs="宋体"/>
                <w:sz w:val="20"/>
                <w:szCs w:val="20"/>
                <w:highlight w:val="none"/>
                <w:lang w:val="en-US" w:eastAsia="zh-CN"/>
              </w:rPr>
              <w:t>拆除旧磅基础，</w:t>
            </w:r>
            <w:r>
              <w:rPr>
                <w:rFonts w:hint="eastAsia" w:ascii="宋体" w:hAnsi="宋体" w:eastAsia="宋体" w:cs="宋体"/>
                <w:sz w:val="20"/>
                <w:szCs w:val="20"/>
                <w:highlight w:val="none"/>
              </w:rPr>
              <w:t>提供</w:t>
            </w:r>
            <w:r>
              <w:rPr>
                <w:rFonts w:hint="eastAsia" w:ascii="宋体" w:hAnsi="宋体" w:eastAsia="宋体" w:cs="宋体"/>
                <w:sz w:val="20"/>
                <w:szCs w:val="20"/>
                <w:highlight w:val="none"/>
                <w:lang w:val="en-US" w:eastAsia="zh-CN"/>
              </w:rPr>
              <w:t>新</w:t>
            </w:r>
            <w:r>
              <w:rPr>
                <w:rFonts w:hint="eastAsia" w:ascii="宋体" w:hAnsi="宋体" w:eastAsia="宋体" w:cs="宋体"/>
                <w:sz w:val="20"/>
                <w:szCs w:val="20"/>
                <w:highlight w:val="none"/>
              </w:rPr>
              <w:t>设备基础图，引坡</w:t>
            </w:r>
            <w:r>
              <w:rPr>
                <w:rFonts w:hint="eastAsia" w:ascii="宋体" w:hAnsi="宋体" w:eastAsia="宋体" w:cs="宋体"/>
                <w:sz w:val="20"/>
                <w:szCs w:val="20"/>
                <w:highlight w:val="none"/>
                <w:lang w:val="en-US" w:eastAsia="zh-CN"/>
              </w:rPr>
              <w:t>为</w:t>
            </w:r>
            <w:r>
              <w:rPr>
                <w:rFonts w:hint="eastAsia" w:ascii="宋体" w:hAnsi="宋体" w:eastAsia="宋体" w:cs="宋体"/>
                <w:sz w:val="20"/>
                <w:szCs w:val="20"/>
                <w:highlight w:val="none"/>
              </w:rPr>
              <w:t>钢筋混凝土结构</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所有</w:t>
            </w:r>
            <w:r>
              <w:rPr>
                <w:rFonts w:hint="eastAsia" w:ascii="宋体" w:hAnsi="宋体" w:eastAsia="宋体" w:cs="宋体"/>
                <w:sz w:val="20"/>
                <w:szCs w:val="20"/>
                <w:highlight w:val="none"/>
              </w:rPr>
              <w:t>土建施工</w:t>
            </w:r>
            <w:r>
              <w:rPr>
                <w:rFonts w:hint="eastAsia" w:ascii="宋体" w:hAnsi="宋体" w:eastAsia="宋体" w:cs="宋体"/>
                <w:sz w:val="20"/>
                <w:szCs w:val="20"/>
                <w:highlight w:val="none"/>
                <w:lang w:val="en-US" w:eastAsia="zh-CN"/>
              </w:rPr>
              <w:t>完成后及时清理现场</w:t>
            </w:r>
          </w:p>
        </w:tc>
        <w:tc>
          <w:tcPr>
            <w:tcW w:w="1476" w:type="dxa"/>
            <w:vMerge w:val="continue"/>
            <w:vAlign w:val="center"/>
          </w:tcPr>
          <w:p w14:paraId="16D18E47">
            <w:pPr>
              <w:widowControl/>
              <w:jc w:val="center"/>
              <w:rPr>
                <w:rFonts w:hint="eastAsia" w:ascii="宋体" w:hAnsi="宋体" w:eastAsia="宋体" w:cs="宋体"/>
                <w:sz w:val="20"/>
                <w:szCs w:val="20"/>
                <w:highlight w:val="none"/>
              </w:rPr>
            </w:pPr>
          </w:p>
        </w:tc>
      </w:tr>
    </w:tbl>
    <w:p w14:paraId="3D3A415E">
      <w:pPr>
        <w:widowControl/>
        <w:jc w:val="left"/>
      </w:pPr>
    </w:p>
    <w:p w14:paraId="596CC06A">
      <w:pPr>
        <w:widowControl/>
        <w:ind w:firstLine="480" w:firstLineChars="200"/>
        <w:jc w:val="left"/>
      </w:pPr>
      <w:r>
        <w:rPr>
          <w:rFonts w:hint="eastAsia" w:ascii="宋体" w:hAnsi="宋体" w:eastAsia="宋体" w:cs="宋体"/>
          <w:kern w:val="0"/>
          <w:sz w:val="24"/>
        </w:rPr>
        <w:t>注：上述设备要求分项报价并注明品牌与产地。</w:t>
      </w:r>
    </w:p>
    <w:p w14:paraId="3C1E81AB">
      <w:pPr>
        <w:widowControl/>
      </w:pPr>
      <w:r>
        <w:rPr>
          <w:rFonts w:hint="eastAsia" w:ascii="宋体" w:hAnsi="宋体" w:eastAsia="宋体" w:cs="宋体"/>
          <w:kern w:val="0"/>
          <w:sz w:val="20"/>
          <w:szCs w:val="20"/>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79614AD2">
      <w:pPr>
        <w:widowControl/>
        <w:ind w:firstLine="600" w:firstLineChars="300"/>
        <w:rPr>
          <w:rFonts w:hint="eastAsia" w:ascii="宋体" w:hAnsi="宋体" w:eastAsia="宋体" w:cs="宋体"/>
          <w:kern w:val="0"/>
          <w:sz w:val="20"/>
          <w:szCs w:val="20"/>
        </w:rPr>
      </w:pPr>
      <w:r>
        <w:rPr>
          <w:rFonts w:hint="eastAsia" w:ascii="宋体" w:hAnsi="宋体" w:eastAsia="宋体" w:cs="宋体"/>
          <w:kern w:val="0"/>
          <w:sz w:val="20"/>
          <w:szCs w:val="20"/>
        </w:rPr>
        <w:t>②本表“供货方式”指：交钥匙方式——包括制造、运输、定点卸货、安装、调试和协助验收以及约定培训等。</w:t>
      </w:r>
    </w:p>
    <w:p w14:paraId="248041FE">
      <w:pPr>
        <w:widowControl/>
      </w:pPr>
    </w:p>
    <w:p w14:paraId="0120E9BD">
      <w:pPr>
        <w:widowControl/>
      </w:pPr>
    </w:p>
    <w:p w14:paraId="67706FBC">
      <w:pPr>
        <w:widowControl/>
        <w:jc w:val="center"/>
      </w:pPr>
      <w:r>
        <w:rPr>
          <w:rFonts w:hint="eastAsia" w:ascii="黑体" w:hAnsi="宋体" w:eastAsia="黑体" w:cs="黑体"/>
          <w:kern w:val="0"/>
          <w:sz w:val="24"/>
        </w:rPr>
        <w:t>第二章技术要求</w:t>
      </w:r>
    </w:p>
    <w:p w14:paraId="5F7B5D8E">
      <w:pPr>
        <w:widowControl/>
        <w:ind w:firstLine="480" w:firstLineChars="200"/>
        <w:jc w:val="left"/>
      </w:pPr>
      <w:r>
        <w:rPr>
          <w:rFonts w:hint="eastAsia" w:ascii="黑体" w:hAnsi="宋体" w:eastAsia="黑体" w:cs="黑体"/>
          <w:kern w:val="0"/>
          <w:sz w:val="24"/>
        </w:rPr>
        <w:t>1 基本要求</w:t>
      </w:r>
    </w:p>
    <w:p w14:paraId="1AC0FDC2">
      <w:pPr>
        <w:widowControl/>
        <w:ind w:firstLine="480" w:firstLineChars="200"/>
        <w:jc w:val="left"/>
      </w:pPr>
      <w:r>
        <w:rPr>
          <w:rFonts w:hint="eastAsia" w:ascii="宋体" w:hAnsi="宋体" w:eastAsia="宋体" w:cs="宋体"/>
          <w:kern w:val="0"/>
          <w:sz w:val="24"/>
        </w:rPr>
        <w:t>1.1 投标方所供的设备，必须符合中国最新版的法律、法规和相关标准、规范的要求，符合项目所在地政府有关特殊要求。</w:t>
      </w:r>
    </w:p>
    <w:p w14:paraId="78D3C7E6">
      <w:pPr>
        <w:widowControl/>
        <w:ind w:firstLine="480" w:firstLineChars="200"/>
        <w:jc w:val="left"/>
      </w:pPr>
      <w:r>
        <w:rPr>
          <w:rFonts w:hint="eastAsia" w:ascii="宋体" w:hAnsi="宋体" w:eastAsia="宋体" w:cs="宋体"/>
          <w:kern w:val="0"/>
          <w:sz w:val="24"/>
        </w:rPr>
        <w:t>1.2 投标方所供设备涉及的、招标方有权使用的专利权技术以及知识产权保护的其它技术等，应保证招标方不因此受到任何侵权指控以及实际损失。</w:t>
      </w:r>
    </w:p>
    <w:p w14:paraId="6FA8CD3F">
      <w:pPr>
        <w:widowControl/>
        <w:ind w:firstLine="480" w:firstLineChars="200"/>
        <w:jc w:val="left"/>
      </w:pPr>
      <w:r>
        <w:rPr>
          <w:rFonts w:hint="eastAsia" w:ascii="宋体" w:hAnsi="宋体" w:eastAsia="宋体" w:cs="宋体"/>
          <w:kern w:val="0"/>
          <w:sz w:val="24"/>
        </w:rPr>
        <w:t>1.3 投标方应保证所供设备的先进性、可靠性、经济性和实用性，并为全新货物（或设备）。</w:t>
      </w:r>
    </w:p>
    <w:p w14:paraId="39D6CC1E">
      <w:pPr>
        <w:widowControl/>
        <w:ind w:firstLine="480" w:firstLineChars="200"/>
        <w:jc w:val="left"/>
      </w:pPr>
      <w:r>
        <w:rPr>
          <w:rFonts w:hint="eastAsia" w:ascii="宋体" w:hAnsi="宋体" w:eastAsia="宋体" w:cs="宋体"/>
          <w:kern w:val="0"/>
          <w:sz w:val="24"/>
        </w:rPr>
        <w:t>1.4 投标方应满足招标方提出的各项技术要求，必要时应当免费提供技术承诺或担保。</w:t>
      </w:r>
    </w:p>
    <w:p w14:paraId="006179D6">
      <w:pPr>
        <w:widowControl/>
        <w:ind w:firstLine="480" w:firstLineChars="200"/>
        <w:jc w:val="left"/>
      </w:pPr>
      <w:r>
        <w:rPr>
          <w:rFonts w:hint="eastAsia" w:ascii="宋体" w:hAnsi="宋体" w:eastAsia="宋体" w:cs="宋体"/>
          <w:kern w:val="0"/>
          <w:sz w:val="24"/>
        </w:rPr>
        <w:t>1.5 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368BBF8A">
      <w:pPr>
        <w:widowControl/>
        <w:ind w:firstLine="480" w:firstLineChars="200"/>
        <w:jc w:val="left"/>
      </w:pPr>
      <w:r>
        <w:rPr>
          <w:rFonts w:hint="eastAsia" w:ascii="宋体" w:hAnsi="宋体" w:eastAsia="宋体" w:cs="宋体"/>
          <w:kern w:val="0"/>
          <w:sz w:val="24"/>
        </w:rPr>
        <w:t>1.6 投标方应保证所供设备的完整性和成套性，能保证设备的正常运行、使用。</w:t>
      </w:r>
    </w:p>
    <w:p w14:paraId="2A3FDED6">
      <w:pPr>
        <w:widowControl/>
        <w:ind w:firstLine="480" w:firstLineChars="200"/>
        <w:jc w:val="left"/>
      </w:pPr>
      <w:r>
        <w:rPr>
          <w:rFonts w:hint="eastAsia" w:ascii="宋体" w:hAnsi="宋体" w:eastAsia="宋体" w:cs="宋体"/>
          <w:kern w:val="0"/>
          <w:sz w:val="24"/>
        </w:rPr>
        <w:t>1.7 投标方应对招标方采购的设备所涉及的技术、产能等信息负有保密义务，特殊项目应当无条件签署保密协议。</w:t>
      </w:r>
    </w:p>
    <w:p w14:paraId="6F548777">
      <w:pPr>
        <w:widowControl/>
        <w:ind w:firstLine="480" w:firstLineChars="200"/>
        <w:jc w:val="left"/>
      </w:pPr>
      <w:r>
        <w:rPr>
          <w:rFonts w:hint="eastAsia" w:ascii="宋体" w:hAnsi="宋体" w:eastAsia="宋体" w:cs="宋体"/>
          <w:kern w:val="0"/>
          <w:sz w:val="24"/>
        </w:rPr>
        <w:t>1.8 投标方需提供所投标设备的综合能耗及正常使用时的使用成本数据。</w:t>
      </w:r>
    </w:p>
    <w:p w14:paraId="18DDC443">
      <w:pPr>
        <w:widowControl/>
        <w:ind w:firstLine="480" w:firstLineChars="200"/>
        <w:jc w:val="left"/>
      </w:pPr>
      <w:r>
        <w:rPr>
          <w:rFonts w:hint="eastAsia" w:ascii="宋体" w:hAnsi="宋体" w:eastAsia="宋体" w:cs="宋体"/>
          <w:kern w:val="0"/>
          <w:sz w:val="24"/>
        </w:rPr>
        <w:t>1.9 若投标方不能完全满足本技术标书中的各项条款的要求，不管是多么细小，都应在投标文件“技术偏离”章节中予以详细说明，如不明确说明均视为认同本技术标书的相关条款的要求。</w:t>
      </w:r>
    </w:p>
    <w:p w14:paraId="0EBF04B3">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1.10 如投标方对本技术标书内容存在歧义时，则以招标方的解释为准。</w:t>
      </w:r>
    </w:p>
    <w:p w14:paraId="51241002">
      <w:pPr>
        <w:widowControl/>
        <w:ind w:firstLine="480" w:firstLineChars="200"/>
        <w:jc w:val="left"/>
      </w:pPr>
      <w:r>
        <w:rPr>
          <w:rFonts w:hint="eastAsia" w:ascii="宋体" w:hAnsi="宋体" w:eastAsia="宋体" w:cs="宋体"/>
          <w:kern w:val="0"/>
          <w:sz w:val="24"/>
        </w:rPr>
        <w:t>1.11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6F86F36B">
      <w:pPr>
        <w:widowControl/>
        <w:ind w:firstLine="480" w:firstLineChars="200"/>
        <w:jc w:val="left"/>
      </w:pPr>
      <w:r>
        <w:rPr>
          <w:rFonts w:hint="eastAsia" w:ascii="宋体" w:hAnsi="宋体" w:eastAsia="宋体" w:cs="宋体"/>
          <w:kern w:val="0"/>
          <w:sz w:val="24"/>
        </w:rPr>
        <w:t>1.12 在整个终验收过程中不得有维修、更换零部件或元件等行为。</w:t>
      </w:r>
    </w:p>
    <w:p w14:paraId="27352FC8">
      <w:pPr>
        <w:widowControl/>
        <w:ind w:firstLine="480" w:firstLineChars="200"/>
        <w:jc w:val="left"/>
      </w:pPr>
      <w:r>
        <w:rPr>
          <w:rFonts w:hint="eastAsia" w:ascii="宋体" w:hAnsi="宋体" w:eastAsia="宋体" w:cs="宋体"/>
          <w:kern w:val="0"/>
          <w:sz w:val="24"/>
        </w:rPr>
        <w:t>1.13 投标方不得在任何情况下以任何方式限制招标方对设备的使用，如设置密码锁等。</w:t>
      </w:r>
    </w:p>
    <w:p w14:paraId="3E76D250">
      <w:pPr>
        <w:widowControl/>
        <w:ind w:firstLine="480" w:firstLineChars="200"/>
        <w:jc w:val="left"/>
      </w:pPr>
      <w:r>
        <w:rPr>
          <w:rFonts w:hint="eastAsia" w:ascii="黑体" w:hAnsi="宋体" w:eastAsia="黑体" w:cs="黑体"/>
          <w:kern w:val="0"/>
          <w:sz w:val="24"/>
        </w:rPr>
        <w:t>2 执行标准</w:t>
      </w:r>
    </w:p>
    <w:p w14:paraId="6F6F2BEA">
      <w:pPr>
        <w:widowControl/>
        <w:ind w:firstLine="480" w:firstLineChars="200"/>
        <w:jc w:val="left"/>
      </w:pPr>
      <w:r>
        <w:rPr>
          <w:rFonts w:hint="eastAsia" w:ascii="宋体" w:hAnsi="宋体" w:eastAsia="宋体" w:cs="宋体"/>
          <w:kern w:val="0"/>
          <w:sz w:val="24"/>
        </w:rPr>
        <w:t>2.1 招标方此处所列标准仅为涉及的主要标准，而且不保证其为最新版执行标准；投标方应当在投标文件中予以补充和完善。</w:t>
      </w:r>
    </w:p>
    <w:p w14:paraId="16F49C95">
      <w:pPr>
        <w:widowControl/>
        <w:ind w:firstLine="480" w:firstLineChars="200"/>
        <w:jc w:val="left"/>
      </w:pPr>
      <w:r>
        <w:rPr>
          <w:rFonts w:hint="eastAsia" w:ascii="宋体" w:hAnsi="宋体" w:eastAsia="宋体" w:cs="宋体"/>
          <w:kern w:val="0"/>
          <w:sz w:val="24"/>
        </w:rPr>
        <w:t>2.2 投标方需要执行的标准，应当以所供设备通过招标方将来组织的最终验收之日后需要执行的标准。</w:t>
      </w:r>
    </w:p>
    <w:p w14:paraId="4127BB3F">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2.3 涉及的主要标准表（包含但不限于）</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341"/>
        <w:gridCol w:w="2126"/>
        <w:gridCol w:w="1109"/>
      </w:tblGrid>
      <w:tr w14:paraId="1E1B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C4745CA">
            <w:pPr>
              <w:widowControl/>
              <w:jc w:val="center"/>
            </w:pPr>
            <w:r>
              <w:rPr>
                <w:rFonts w:hint="eastAsia" w:ascii="宋体" w:hAnsi="宋体" w:eastAsia="宋体" w:cs="宋体"/>
                <w:kern w:val="0"/>
                <w:sz w:val="20"/>
                <w:szCs w:val="20"/>
              </w:rPr>
              <w:t>序号</w:t>
            </w:r>
          </w:p>
        </w:tc>
        <w:tc>
          <w:tcPr>
            <w:tcW w:w="4341" w:type="dxa"/>
          </w:tcPr>
          <w:p w14:paraId="454D316C">
            <w:pPr>
              <w:widowControl/>
              <w:jc w:val="center"/>
            </w:pPr>
            <w:r>
              <w:rPr>
                <w:rFonts w:hint="eastAsia" w:ascii="宋体" w:hAnsi="宋体" w:eastAsia="宋体" w:cs="宋体"/>
                <w:kern w:val="0"/>
                <w:sz w:val="20"/>
                <w:szCs w:val="20"/>
              </w:rPr>
              <w:t>标准名称</w:t>
            </w:r>
          </w:p>
        </w:tc>
        <w:tc>
          <w:tcPr>
            <w:tcW w:w="2126" w:type="dxa"/>
          </w:tcPr>
          <w:p w14:paraId="3D6DCA4F">
            <w:pPr>
              <w:widowControl/>
              <w:jc w:val="center"/>
            </w:pPr>
            <w:r>
              <w:rPr>
                <w:rFonts w:hint="eastAsia" w:ascii="宋体" w:hAnsi="宋体" w:eastAsia="宋体" w:cs="宋体"/>
                <w:kern w:val="0"/>
                <w:sz w:val="20"/>
                <w:szCs w:val="20"/>
              </w:rPr>
              <w:t>标准编号</w:t>
            </w:r>
          </w:p>
        </w:tc>
        <w:tc>
          <w:tcPr>
            <w:tcW w:w="1109" w:type="dxa"/>
          </w:tcPr>
          <w:p w14:paraId="37F71CE1">
            <w:pPr>
              <w:widowControl/>
              <w:jc w:val="center"/>
            </w:pPr>
            <w:r>
              <w:rPr>
                <w:rFonts w:hint="eastAsia" w:ascii="宋体" w:hAnsi="宋体" w:eastAsia="宋体" w:cs="宋体"/>
                <w:kern w:val="0"/>
                <w:sz w:val="20"/>
                <w:szCs w:val="20"/>
              </w:rPr>
              <w:t>备注</w:t>
            </w:r>
          </w:p>
        </w:tc>
      </w:tr>
      <w:tr w14:paraId="54E8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0" w:type="auto"/>
          </w:tcPr>
          <w:p w14:paraId="286D1223">
            <w:pPr>
              <w:widowControl/>
              <w:jc w:val="center"/>
            </w:pPr>
            <w:r>
              <w:rPr>
                <w:rFonts w:hint="eastAsia" w:ascii="宋体" w:hAnsi="宋体" w:eastAsia="宋体" w:cs="宋体"/>
                <w:kern w:val="0"/>
                <w:sz w:val="20"/>
                <w:szCs w:val="20"/>
              </w:rPr>
              <w:t>1</w:t>
            </w:r>
          </w:p>
        </w:tc>
        <w:tc>
          <w:tcPr>
            <w:tcW w:w="4341" w:type="dxa"/>
          </w:tcPr>
          <w:p w14:paraId="7B5DA446">
            <w:pPr>
              <w:widowControl/>
              <w:jc w:val="center"/>
              <w:rPr>
                <w:rFonts w:hint="eastAsia" w:ascii="宋体" w:hAnsi="宋体" w:eastAsia="宋体" w:cs="宋体"/>
                <w:kern w:val="0"/>
                <w:sz w:val="24"/>
              </w:rPr>
            </w:pPr>
            <w:r>
              <w:rPr>
                <w:rFonts w:hint="eastAsia" w:ascii="宋体" w:hAnsi="宋体" w:eastAsia="宋体" w:cs="宋体"/>
                <w:kern w:val="0"/>
                <w:sz w:val="20"/>
                <w:szCs w:val="20"/>
              </w:rPr>
              <w:t>《数字指示秤检定规程》</w:t>
            </w:r>
          </w:p>
        </w:tc>
        <w:tc>
          <w:tcPr>
            <w:tcW w:w="2126" w:type="dxa"/>
          </w:tcPr>
          <w:p w14:paraId="52741048">
            <w:pPr>
              <w:widowControl/>
              <w:jc w:val="center"/>
              <w:rPr>
                <w:rFonts w:hint="eastAsia" w:ascii="宋体" w:hAnsi="宋体" w:eastAsia="宋体" w:cs="宋体"/>
                <w:kern w:val="0"/>
                <w:sz w:val="24"/>
              </w:rPr>
            </w:pPr>
            <w:r>
              <w:rPr>
                <w:rFonts w:hint="eastAsia" w:ascii="宋体" w:hAnsi="宋体" w:eastAsia="宋体" w:cs="宋体"/>
                <w:kern w:val="0"/>
                <w:sz w:val="20"/>
                <w:szCs w:val="20"/>
              </w:rPr>
              <w:t>JJG539-2016</w:t>
            </w:r>
          </w:p>
        </w:tc>
        <w:tc>
          <w:tcPr>
            <w:tcW w:w="1109" w:type="dxa"/>
          </w:tcPr>
          <w:p w14:paraId="49A187ED">
            <w:pPr>
              <w:widowControl/>
              <w:jc w:val="center"/>
              <w:rPr>
                <w:rFonts w:hint="eastAsia" w:ascii="宋体" w:hAnsi="宋体" w:eastAsia="宋体" w:cs="宋体"/>
                <w:kern w:val="0"/>
                <w:sz w:val="24"/>
              </w:rPr>
            </w:pPr>
          </w:p>
        </w:tc>
      </w:tr>
      <w:tr w14:paraId="0D14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0" w:type="auto"/>
          </w:tcPr>
          <w:p w14:paraId="02007FC0">
            <w:pPr>
              <w:widowControl/>
              <w:jc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2</w:t>
            </w:r>
          </w:p>
        </w:tc>
        <w:tc>
          <w:tcPr>
            <w:tcW w:w="4341" w:type="dxa"/>
          </w:tcPr>
          <w:p w14:paraId="5C7313EE">
            <w:pPr>
              <w:widowControl/>
              <w:jc w:val="center"/>
              <w:rPr>
                <w:rFonts w:hint="eastAsia" w:ascii="宋体" w:hAnsi="宋体" w:eastAsia="宋体" w:cs="宋体"/>
                <w:kern w:val="0"/>
                <w:sz w:val="20"/>
                <w:szCs w:val="20"/>
              </w:rPr>
            </w:pPr>
            <w:r>
              <w:rPr>
                <w:rFonts w:hint="eastAsia" w:ascii="宋体" w:hAnsi="宋体" w:eastAsia="宋体" w:cs="宋体"/>
                <w:sz w:val="20"/>
                <w:szCs w:val="20"/>
              </w:rPr>
              <w:t>固定式电子衡器</w:t>
            </w:r>
          </w:p>
        </w:tc>
        <w:tc>
          <w:tcPr>
            <w:tcW w:w="2126" w:type="dxa"/>
          </w:tcPr>
          <w:p w14:paraId="4581D874">
            <w:pPr>
              <w:widowControl/>
              <w:jc w:val="center"/>
              <w:rPr>
                <w:rFonts w:hint="eastAsia" w:ascii="宋体" w:hAnsi="宋体" w:eastAsia="宋体" w:cs="宋体"/>
                <w:kern w:val="0"/>
                <w:sz w:val="20"/>
                <w:szCs w:val="20"/>
              </w:rPr>
            </w:pPr>
            <w:r>
              <w:rPr>
                <w:rFonts w:hint="eastAsia" w:ascii="宋体" w:hAnsi="宋体" w:eastAsia="宋体" w:cs="宋体"/>
                <w:sz w:val="20"/>
                <w:szCs w:val="20"/>
              </w:rPr>
              <w:t>GB7723</w:t>
            </w:r>
          </w:p>
        </w:tc>
        <w:tc>
          <w:tcPr>
            <w:tcW w:w="1109" w:type="dxa"/>
          </w:tcPr>
          <w:p w14:paraId="0F2C1BE5">
            <w:pPr>
              <w:widowControl/>
              <w:jc w:val="center"/>
              <w:rPr>
                <w:rFonts w:hint="eastAsia" w:ascii="宋体" w:hAnsi="宋体" w:eastAsia="宋体" w:cs="宋体"/>
                <w:kern w:val="0"/>
                <w:sz w:val="24"/>
              </w:rPr>
            </w:pPr>
          </w:p>
        </w:tc>
      </w:tr>
    </w:tbl>
    <w:p w14:paraId="73A6EA01">
      <w:pPr>
        <w:widowControl/>
        <w:jc w:val="left"/>
      </w:pPr>
      <w:r>
        <w:rPr>
          <w:rFonts w:hint="eastAsia" w:ascii="宋体" w:hAnsi="宋体" w:eastAsia="宋体" w:cs="宋体"/>
          <w:kern w:val="0"/>
          <w:sz w:val="20"/>
          <w:szCs w:val="20"/>
        </w:rPr>
        <w:t>备注：1、如果有采用国际标准的货物，其执行标准由投标方提供、招标方确认。</w:t>
      </w:r>
    </w:p>
    <w:p w14:paraId="6CADF86C">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2.4</w:t>
      </w:r>
      <w:r>
        <w:rPr>
          <w:rFonts w:hint="eastAsia" w:ascii="宋体" w:hAnsi="宋体" w:eastAsia="宋体" w:cs="宋体"/>
          <w:kern w:val="0"/>
          <w:sz w:val="24"/>
        </w:rPr>
        <w:t>投标方需要执行的标准，应当采用所供货物通过招标方组织的最终验收之日已经开始执行的最新标准。</w:t>
      </w:r>
    </w:p>
    <w:p w14:paraId="7A384C1F">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2.5</w:t>
      </w:r>
      <w:r>
        <w:rPr>
          <w:rFonts w:hint="eastAsia" w:ascii="宋体" w:hAnsi="宋体" w:eastAsia="宋体" w:cs="宋体"/>
          <w:kern w:val="0"/>
          <w:sz w:val="24"/>
        </w:rPr>
        <w:t>采购货物的产品质量、技术标准如在招投标文件中无相应说明，则按中华人民共和国有关部门颁发的最新的国标或专业（部）标准执行及相应的国际标准。</w:t>
      </w:r>
    </w:p>
    <w:p w14:paraId="718183B9">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2.6</w:t>
      </w:r>
      <w:r>
        <w:rPr>
          <w:rFonts w:hint="eastAsia" w:ascii="宋体" w:hAnsi="宋体" w:eastAsia="宋体" w:cs="宋体"/>
          <w:kern w:val="0"/>
          <w:sz w:val="24"/>
        </w:rPr>
        <w:t>采购货物没有中国国家或专业（部）标准的，按企业标准执行时，投标方应在合同签署之前，将所涉及的企业标准提供给招标方确认。</w:t>
      </w:r>
    </w:p>
    <w:p w14:paraId="1BACDD3D">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2.7</w:t>
      </w:r>
      <w:r>
        <w:rPr>
          <w:rFonts w:hint="eastAsia" w:ascii="宋体" w:hAnsi="宋体" w:eastAsia="宋体" w:cs="宋体"/>
          <w:kern w:val="0"/>
          <w:sz w:val="24"/>
        </w:rPr>
        <w:t>采购货物如果采用国际标准，其执行标准由投标方提供、招标方确认。</w:t>
      </w:r>
    </w:p>
    <w:p w14:paraId="17007504">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lang w:val="en-US" w:eastAsia="zh-CN"/>
        </w:rPr>
        <w:t>2.8</w:t>
      </w:r>
      <w:r>
        <w:rPr>
          <w:rFonts w:hint="eastAsia" w:ascii="宋体" w:hAnsi="宋体" w:eastAsia="宋体" w:cs="宋体"/>
          <w:kern w:val="0"/>
          <w:sz w:val="24"/>
        </w:rPr>
        <w:t>采购货物所涉及的标准不统一时，原则上按照最严格标准执行。</w:t>
      </w:r>
    </w:p>
    <w:p w14:paraId="051C9386">
      <w:pPr>
        <w:widowControl/>
        <w:ind w:firstLine="480" w:firstLineChars="200"/>
        <w:jc w:val="left"/>
        <w:rPr>
          <w:rFonts w:hint="eastAsia" w:ascii="黑体" w:hAnsi="宋体" w:eastAsia="黑体" w:cs="黑体"/>
          <w:kern w:val="0"/>
          <w:sz w:val="24"/>
        </w:rPr>
      </w:pPr>
      <w:r>
        <w:rPr>
          <w:rFonts w:hint="eastAsia" w:ascii="宋体" w:hAnsi="宋体" w:eastAsia="宋体" w:cs="宋体"/>
          <w:kern w:val="0"/>
          <w:sz w:val="24"/>
          <w:lang w:val="en-US" w:eastAsia="zh-CN"/>
        </w:rPr>
        <w:t>2.9</w:t>
      </w:r>
      <w:r>
        <w:rPr>
          <w:rFonts w:hint="eastAsia" w:ascii="宋体" w:hAnsi="宋体" w:eastAsia="宋体" w:cs="宋体"/>
          <w:kern w:val="0"/>
          <w:sz w:val="24"/>
        </w:rPr>
        <w:t>必须保证所提供的设备、材料和服务遵守相关标准的最新修改版本和所有其它适用的标准（以最新在执行标准为准、标准要求重叠时以最严格条款为准）。</w:t>
      </w:r>
    </w:p>
    <w:p w14:paraId="656C0D84">
      <w:pPr>
        <w:widowControl/>
        <w:ind w:firstLine="480" w:firstLineChars="200"/>
        <w:jc w:val="left"/>
      </w:pPr>
      <w:r>
        <w:rPr>
          <w:rFonts w:hint="eastAsia" w:ascii="黑体" w:hAnsi="宋体" w:eastAsia="黑体" w:cs="黑体"/>
          <w:kern w:val="0"/>
          <w:sz w:val="24"/>
        </w:rPr>
        <w:t>3 技术规范</w:t>
      </w:r>
    </w:p>
    <w:p w14:paraId="7D4F632E">
      <w:pPr>
        <w:widowControl/>
        <w:ind w:firstLine="480" w:firstLineChars="200"/>
        <w:jc w:val="left"/>
      </w:pPr>
      <w:r>
        <w:rPr>
          <w:rFonts w:hint="eastAsia" w:ascii="宋体" w:hAnsi="宋体" w:eastAsia="宋体" w:cs="宋体"/>
          <w:kern w:val="0"/>
          <w:sz w:val="24"/>
        </w:rPr>
        <w:t>在基本要求和执行标准基础上，本技术标书对所采购的设备的技术及使用等方面作出如下要求：</w:t>
      </w:r>
    </w:p>
    <w:p w14:paraId="699CE0EE">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 功能用途</w:t>
      </w:r>
    </w:p>
    <w:p w14:paraId="16E85147">
      <w:pPr>
        <w:widowControl/>
        <w:ind w:firstLine="480" w:firstLineChars="200"/>
        <w:jc w:val="left"/>
        <w:rPr>
          <w:rFonts w:hint="eastAsia" w:ascii="宋体" w:hAnsi="宋体" w:eastAsia="宋体" w:cs="宋体"/>
          <w:kern w:val="0"/>
          <w:sz w:val="24"/>
          <w:lang w:eastAsia="zh-CN"/>
        </w:rPr>
      </w:pPr>
      <w:r>
        <w:rPr>
          <w:rFonts w:hint="eastAsia" w:ascii="宋体" w:hAnsi="宋体" w:eastAsia="宋体" w:cs="宋体"/>
          <w:kern w:val="0"/>
          <w:sz w:val="24"/>
        </w:rPr>
        <w:t>3.1.1 功能用途：计量称重</w:t>
      </w:r>
      <w:r>
        <w:rPr>
          <w:rFonts w:hint="eastAsia" w:ascii="宋体" w:hAnsi="宋体" w:eastAsia="宋体" w:cs="宋体"/>
          <w:kern w:val="0"/>
          <w:sz w:val="24"/>
          <w:lang w:eastAsia="zh-CN"/>
        </w:rPr>
        <w:t>，</w:t>
      </w:r>
      <w:r>
        <w:rPr>
          <w:rFonts w:hint="eastAsia" w:ascii="宋体" w:hAnsi="宋体" w:eastAsia="宋体" w:cs="宋体"/>
          <w:kern w:val="0"/>
          <w:sz w:val="24"/>
        </w:rPr>
        <w:t>仪表设备符合标准《GB7723固定式电子衡器》和《JJG539数字指示称》的相关要求，设备基础图纸由设备厂家根据设备需求提供。</w:t>
      </w:r>
    </w:p>
    <w:p w14:paraId="12627005">
      <w:pPr>
        <w:widowControl/>
        <w:ind w:firstLine="480" w:firstLineChars="200"/>
        <w:jc w:val="left"/>
        <w:rPr>
          <w:rFonts w:eastAsia="宋体"/>
        </w:rPr>
      </w:pPr>
      <w:r>
        <w:rPr>
          <w:rFonts w:hint="eastAsia" w:ascii="宋体" w:hAnsi="宋体" w:eastAsia="宋体" w:cs="宋体"/>
          <w:kern w:val="0"/>
          <w:sz w:val="24"/>
        </w:rPr>
        <w:t>3.1.2 生产能力：不涉及</w:t>
      </w:r>
    </w:p>
    <w:p w14:paraId="65702889">
      <w:pPr>
        <w:widowControl/>
        <w:ind w:firstLine="480" w:firstLineChars="200"/>
        <w:jc w:val="left"/>
      </w:pPr>
      <w:r>
        <w:rPr>
          <w:rFonts w:hint="eastAsia" w:ascii="宋体" w:hAnsi="宋体" w:eastAsia="宋体" w:cs="宋体"/>
          <w:kern w:val="0"/>
          <w:sz w:val="24"/>
        </w:rPr>
        <w:t>3.2 技术性能参数</w:t>
      </w:r>
    </w:p>
    <w:p w14:paraId="3824961C">
      <w:pPr>
        <w:widowControl/>
        <w:adjustRightInd w:val="0"/>
        <w:snapToGrid w:val="0"/>
        <w:ind w:firstLine="480" w:firstLineChars="200"/>
        <w:rPr>
          <w:rFonts w:hint="eastAsia" w:ascii="宋体" w:hAnsi="宋体" w:eastAsia="宋体" w:cs="宋体"/>
          <w:bCs/>
          <w:sz w:val="24"/>
        </w:rPr>
      </w:pPr>
      <w:r>
        <w:rPr>
          <w:rFonts w:hint="eastAsia" w:ascii="宋体" w:hAnsi="宋体" w:eastAsia="宋体" w:cs="宋体"/>
          <w:kern w:val="0"/>
          <w:sz w:val="24"/>
        </w:rPr>
        <w:t xml:space="preserve">3.2.1 </w:t>
      </w:r>
      <w:r>
        <w:rPr>
          <w:rFonts w:hint="eastAsia" w:ascii="宋体" w:hAnsi="宋体" w:eastAsia="宋体" w:cs="宋体"/>
          <w:bCs/>
          <w:sz w:val="24"/>
        </w:rPr>
        <w:t xml:space="preserve"> 数字式电子汽车衡配置及技术参数要求</w:t>
      </w:r>
    </w:p>
    <w:p w14:paraId="0E3FE21A">
      <w:pPr>
        <w:widowControl/>
        <w:adjustRightInd w:val="0"/>
        <w:snapToGrid w:val="0"/>
        <w:ind w:firstLine="480" w:firstLineChars="200"/>
        <w:rPr>
          <w:rFonts w:hint="eastAsia" w:ascii="宋体" w:hAnsi="宋体" w:eastAsia="宋体" w:cs="宋体"/>
          <w:bCs/>
          <w:sz w:val="24"/>
        </w:rPr>
      </w:pPr>
    </w:p>
    <w:tbl>
      <w:tblPr>
        <w:tblStyle w:val="3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1391"/>
        <w:gridCol w:w="1066"/>
        <w:gridCol w:w="4762"/>
        <w:gridCol w:w="801"/>
      </w:tblGrid>
      <w:tr w14:paraId="4C67A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877" w:type="dxa"/>
          </w:tcPr>
          <w:p w14:paraId="6E9F7242">
            <w:pPr>
              <w:jc w:val="center"/>
              <w:rPr>
                <w:rFonts w:hint="eastAsia" w:ascii="宋体" w:hAnsi="宋体" w:eastAsia="宋体" w:cs="宋体"/>
                <w:bCs/>
                <w:sz w:val="24"/>
              </w:rPr>
            </w:pPr>
            <w:r>
              <w:rPr>
                <w:rFonts w:hint="eastAsia" w:ascii="宋体" w:hAnsi="宋体" w:eastAsia="宋体" w:cs="宋体"/>
                <w:bCs/>
                <w:sz w:val="24"/>
              </w:rPr>
              <w:t>序号</w:t>
            </w:r>
          </w:p>
        </w:tc>
        <w:tc>
          <w:tcPr>
            <w:tcW w:w="1391" w:type="dxa"/>
          </w:tcPr>
          <w:p w14:paraId="75EF2FC1">
            <w:pPr>
              <w:jc w:val="center"/>
              <w:rPr>
                <w:rFonts w:hint="eastAsia" w:ascii="宋体" w:hAnsi="宋体" w:eastAsia="宋体" w:cs="宋体"/>
                <w:bCs/>
                <w:sz w:val="24"/>
              </w:rPr>
            </w:pPr>
            <w:r>
              <w:rPr>
                <w:rFonts w:hint="eastAsia" w:ascii="宋体" w:hAnsi="宋体" w:eastAsia="宋体" w:cs="宋体"/>
                <w:bCs/>
                <w:sz w:val="24"/>
              </w:rPr>
              <w:t>项目</w:t>
            </w:r>
          </w:p>
        </w:tc>
        <w:tc>
          <w:tcPr>
            <w:tcW w:w="1066" w:type="dxa"/>
          </w:tcPr>
          <w:p w14:paraId="740800F6">
            <w:pPr>
              <w:jc w:val="center"/>
              <w:rPr>
                <w:rFonts w:hint="eastAsia" w:ascii="宋体" w:hAnsi="宋体" w:eastAsia="宋体" w:cs="宋体"/>
                <w:bCs/>
                <w:sz w:val="24"/>
              </w:rPr>
            </w:pPr>
            <w:r>
              <w:rPr>
                <w:rFonts w:hint="eastAsia" w:ascii="宋体" w:hAnsi="宋体" w:eastAsia="宋体" w:cs="宋体"/>
                <w:bCs/>
                <w:sz w:val="24"/>
              </w:rPr>
              <w:t>数量</w:t>
            </w:r>
          </w:p>
        </w:tc>
        <w:tc>
          <w:tcPr>
            <w:tcW w:w="4762" w:type="dxa"/>
          </w:tcPr>
          <w:p w14:paraId="7219D553">
            <w:pPr>
              <w:jc w:val="center"/>
              <w:rPr>
                <w:rFonts w:hint="eastAsia" w:ascii="宋体" w:hAnsi="宋体" w:eastAsia="宋体" w:cs="宋体"/>
                <w:bCs/>
                <w:sz w:val="24"/>
              </w:rPr>
            </w:pPr>
            <w:r>
              <w:rPr>
                <w:rFonts w:hint="eastAsia" w:ascii="宋体" w:hAnsi="宋体" w:eastAsia="宋体" w:cs="宋体"/>
                <w:bCs/>
                <w:sz w:val="24"/>
              </w:rPr>
              <w:t>要  求</w:t>
            </w:r>
          </w:p>
        </w:tc>
        <w:tc>
          <w:tcPr>
            <w:tcW w:w="801" w:type="dxa"/>
          </w:tcPr>
          <w:p w14:paraId="6419CA03">
            <w:pPr>
              <w:jc w:val="center"/>
              <w:rPr>
                <w:rFonts w:hint="eastAsia" w:ascii="宋体" w:hAnsi="宋体" w:eastAsia="宋体" w:cs="宋体"/>
                <w:bCs/>
                <w:sz w:val="24"/>
              </w:rPr>
            </w:pPr>
            <w:r>
              <w:rPr>
                <w:rFonts w:hint="eastAsia" w:ascii="宋体" w:hAnsi="宋体" w:eastAsia="宋体" w:cs="宋体"/>
                <w:bCs/>
                <w:sz w:val="24"/>
              </w:rPr>
              <w:t>备注</w:t>
            </w:r>
          </w:p>
        </w:tc>
      </w:tr>
      <w:tr w14:paraId="46B9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877" w:type="dxa"/>
            <w:vAlign w:val="center"/>
          </w:tcPr>
          <w:p w14:paraId="409D72E9">
            <w:pPr>
              <w:jc w:val="center"/>
              <w:rPr>
                <w:rFonts w:hint="eastAsia" w:ascii="宋体" w:hAnsi="宋体" w:eastAsia="宋体" w:cs="宋体"/>
                <w:bCs/>
                <w:sz w:val="24"/>
              </w:rPr>
            </w:pPr>
            <w:r>
              <w:rPr>
                <w:rFonts w:hint="eastAsia" w:ascii="宋体" w:hAnsi="宋体" w:eastAsia="宋体" w:cs="宋体"/>
                <w:bCs/>
                <w:sz w:val="24"/>
              </w:rPr>
              <w:t>1</w:t>
            </w:r>
          </w:p>
        </w:tc>
        <w:tc>
          <w:tcPr>
            <w:tcW w:w="1391" w:type="dxa"/>
            <w:vAlign w:val="center"/>
          </w:tcPr>
          <w:p w14:paraId="734E2065">
            <w:pPr>
              <w:jc w:val="center"/>
              <w:rPr>
                <w:rFonts w:hint="eastAsia" w:ascii="宋体" w:hAnsi="宋体" w:eastAsia="宋体" w:cs="宋体"/>
                <w:bCs/>
                <w:sz w:val="18"/>
                <w:szCs w:val="18"/>
              </w:rPr>
            </w:pPr>
            <w:r>
              <w:rPr>
                <w:rFonts w:hint="eastAsia" w:ascii="宋体" w:hAnsi="宋体" w:eastAsia="宋体" w:cs="宋体"/>
                <w:bCs/>
                <w:sz w:val="18"/>
                <w:szCs w:val="18"/>
              </w:rPr>
              <w:t>秤 体</w:t>
            </w:r>
          </w:p>
          <w:p w14:paraId="173DB509">
            <w:pPr>
              <w:jc w:val="center"/>
              <w:rPr>
                <w:rFonts w:hint="eastAsia" w:ascii="宋体" w:hAnsi="宋体" w:eastAsia="宋体" w:cs="宋体"/>
                <w:bCs/>
                <w:sz w:val="18"/>
                <w:szCs w:val="18"/>
              </w:rPr>
            </w:pPr>
          </w:p>
        </w:tc>
        <w:tc>
          <w:tcPr>
            <w:tcW w:w="1066" w:type="dxa"/>
            <w:vAlign w:val="center"/>
          </w:tcPr>
          <w:p w14:paraId="3556D4F0">
            <w:pPr>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1</w:t>
            </w:r>
          </w:p>
        </w:tc>
        <w:tc>
          <w:tcPr>
            <w:tcW w:w="4762" w:type="dxa"/>
            <w:vAlign w:val="center"/>
          </w:tcPr>
          <w:p w14:paraId="5F33DDA4">
            <w:pPr>
              <w:widowControl/>
              <w:adjustRightInd w:val="0"/>
              <w:snapToGrid w:val="0"/>
              <w:spacing w:line="240" w:lineRule="atLeast"/>
              <w:rPr>
                <w:rFonts w:hint="eastAsia" w:ascii="宋体" w:hAnsi="宋体" w:eastAsia="宋体" w:cs="宋体"/>
                <w:bCs/>
                <w:sz w:val="18"/>
                <w:szCs w:val="18"/>
              </w:rPr>
            </w:pPr>
            <w:r>
              <w:rPr>
                <w:rFonts w:hint="eastAsia" w:ascii="宋体" w:hAnsi="宋体" w:eastAsia="宋体" w:cs="宋体"/>
                <w:bCs/>
                <w:sz w:val="18"/>
                <w:szCs w:val="18"/>
              </w:rPr>
              <w:t>1、U型钢结构，预拱成型</w:t>
            </w:r>
          </w:p>
          <w:p w14:paraId="63CAD057">
            <w:pPr>
              <w:widowControl/>
              <w:adjustRightInd w:val="0"/>
              <w:snapToGrid w:val="0"/>
              <w:spacing w:line="240" w:lineRule="atLeast"/>
              <w:rPr>
                <w:rFonts w:hint="eastAsia" w:ascii="宋体" w:hAnsi="宋体" w:eastAsia="宋体" w:cs="宋体"/>
                <w:bCs/>
                <w:sz w:val="18"/>
                <w:szCs w:val="18"/>
              </w:rPr>
            </w:pPr>
            <w:r>
              <w:rPr>
                <w:rFonts w:hint="eastAsia" w:ascii="宋体" w:hAnsi="宋体" w:eastAsia="宋体" w:cs="宋体"/>
                <w:bCs/>
                <w:sz w:val="18"/>
                <w:szCs w:val="18"/>
              </w:rPr>
              <w:t>2、主梁：6 根， U 型钢厚6mm，高度350mm</w:t>
            </w:r>
          </w:p>
          <w:p w14:paraId="1A53863B">
            <w:pPr>
              <w:widowControl/>
              <w:adjustRightInd w:val="0"/>
              <w:snapToGrid w:val="0"/>
              <w:spacing w:line="240" w:lineRule="atLeast"/>
              <w:rPr>
                <w:rFonts w:hint="eastAsia" w:ascii="宋体" w:hAnsi="宋体" w:eastAsia="宋体" w:cs="宋体"/>
                <w:bCs/>
                <w:sz w:val="18"/>
                <w:szCs w:val="18"/>
              </w:rPr>
            </w:pPr>
            <w:r>
              <w:rPr>
                <w:rFonts w:hint="eastAsia" w:ascii="宋体" w:hAnsi="宋体" w:eastAsia="宋体" w:cs="宋体"/>
                <w:bCs/>
                <w:sz w:val="18"/>
                <w:szCs w:val="18"/>
              </w:rPr>
              <w:t>3、台面钢板</w:t>
            </w:r>
            <w:r>
              <w:rPr>
                <w:rFonts w:hint="eastAsia" w:ascii="宋体" w:hAnsi="宋体" w:eastAsia="宋体" w:cs="宋体"/>
                <w:bCs/>
                <w:sz w:val="18"/>
                <w:szCs w:val="18"/>
                <w:lang w:val="en-US" w:eastAsia="zh-CN"/>
              </w:rPr>
              <w:t>尺寸</w:t>
            </w:r>
            <w:r>
              <w:rPr>
                <w:rFonts w:hint="eastAsia" w:ascii="宋体" w:hAnsi="宋体" w:eastAsia="宋体" w:cs="宋体"/>
                <w:bCs/>
                <w:sz w:val="18"/>
                <w:szCs w:val="18"/>
              </w:rPr>
              <w:t>：3.</w:t>
            </w:r>
            <w:r>
              <w:rPr>
                <w:rFonts w:hint="eastAsia" w:ascii="宋体" w:hAnsi="宋体" w:eastAsia="宋体" w:cs="宋体"/>
                <w:bCs/>
                <w:sz w:val="18"/>
                <w:szCs w:val="18"/>
                <w:lang w:val="en-US" w:eastAsia="zh-CN"/>
              </w:rPr>
              <w:t>2</w:t>
            </w:r>
            <w:r>
              <w:rPr>
                <w:rFonts w:hint="eastAsia" w:ascii="宋体" w:hAnsi="宋体" w:eastAsia="宋体" w:cs="宋体"/>
                <w:bCs/>
                <w:sz w:val="18"/>
                <w:szCs w:val="18"/>
              </w:rPr>
              <w:t>m×</w:t>
            </w:r>
            <w:r>
              <w:rPr>
                <w:rFonts w:hint="eastAsia" w:ascii="宋体" w:hAnsi="宋体" w:eastAsia="宋体" w:cs="宋体"/>
                <w:bCs/>
                <w:sz w:val="18"/>
                <w:szCs w:val="18"/>
                <w:lang w:val="en-US" w:eastAsia="zh-CN"/>
              </w:rPr>
              <w:t>16</w:t>
            </w:r>
            <w:r>
              <w:rPr>
                <w:rFonts w:hint="eastAsia" w:ascii="宋体" w:hAnsi="宋体" w:eastAsia="宋体" w:cs="宋体"/>
                <w:bCs/>
                <w:sz w:val="18"/>
                <w:szCs w:val="18"/>
              </w:rPr>
              <w:t>m（台面厚度≥10mm）</w:t>
            </w:r>
          </w:p>
          <w:p w14:paraId="14AAE40F">
            <w:pPr>
              <w:widowControl/>
              <w:adjustRightInd w:val="0"/>
              <w:snapToGrid w:val="0"/>
              <w:spacing w:line="240" w:lineRule="atLeast"/>
              <w:rPr>
                <w:rFonts w:hint="eastAsia" w:ascii="宋体" w:hAnsi="宋体" w:eastAsia="宋体" w:cs="宋体"/>
                <w:bCs/>
                <w:sz w:val="18"/>
                <w:szCs w:val="18"/>
              </w:rPr>
            </w:pPr>
            <w:r>
              <w:rPr>
                <w:rFonts w:hint="eastAsia" w:ascii="宋体" w:hAnsi="宋体" w:eastAsia="宋体" w:cs="宋体"/>
                <w:bCs/>
                <w:sz w:val="18"/>
                <w:szCs w:val="18"/>
              </w:rPr>
              <w:t xml:space="preserve">4、分度值（精度）：50kg </w:t>
            </w:r>
          </w:p>
          <w:p w14:paraId="7AFBC9EB">
            <w:pPr>
              <w:widowControl/>
              <w:adjustRightInd w:val="0"/>
              <w:snapToGrid w:val="0"/>
              <w:spacing w:line="240" w:lineRule="atLeast"/>
              <w:rPr>
                <w:rFonts w:hint="eastAsia" w:ascii="宋体" w:hAnsi="宋体" w:eastAsia="宋体" w:cs="宋体"/>
                <w:bCs/>
                <w:sz w:val="18"/>
                <w:szCs w:val="18"/>
              </w:rPr>
            </w:pPr>
            <w:r>
              <w:rPr>
                <w:rFonts w:hint="eastAsia" w:ascii="宋体" w:hAnsi="宋体" w:eastAsia="宋体" w:cs="宋体"/>
                <w:bCs/>
                <w:sz w:val="18"/>
                <w:szCs w:val="18"/>
              </w:rPr>
              <w:t xml:space="preserve">5、表面处理：抛丸喷砂防锈处理，底漆膜厚度不小于 40μm， 面漆采用中灰醇酸磁漆，漆膜厚度不小于 100μm。 喷有显著的行车道线漆，方便汽车行驶 </w:t>
            </w:r>
          </w:p>
          <w:p w14:paraId="287E3E99">
            <w:pPr>
              <w:widowControl/>
              <w:adjustRightInd w:val="0"/>
              <w:snapToGrid w:val="0"/>
              <w:spacing w:line="240" w:lineRule="atLeast"/>
              <w:rPr>
                <w:rFonts w:hint="eastAsia" w:ascii="宋体" w:hAnsi="宋体" w:eastAsia="宋体" w:cs="宋体"/>
                <w:bCs/>
                <w:sz w:val="18"/>
                <w:szCs w:val="18"/>
              </w:rPr>
            </w:pPr>
            <w:r>
              <w:rPr>
                <w:rFonts w:hint="eastAsia" w:ascii="宋体" w:hAnsi="宋体" w:eastAsia="宋体" w:cs="宋体"/>
                <w:bCs/>
                <w:sz w:val="18"/>
                <w:szCs w:val="18"/>
              </w:rPr>
              <w:t>6、防护：传感器至接线盒的信号线通过 PVC 穿线管保护</w:t>
            </w:r>
          </w:p>
        </w:tc>
        <w:tc>
          <w:tcPr>
            <w:tcW w:w="801" w:type="dxa"/>
            <w:vAlign w:val="center"/>
          </w:tcPr>
          <w:p w14:paraId="0E3441BC">
            <w:pPr>
              <w:rPr>
                <w:rFonts w:hint="eastAsia" w:ascii="宋体" w:hAnsi="宋体" w:eastAsia="宋体" w:cs="宋体"/>
                <w:bCs/>
                <w:sz w:val="18"/>
                <w:szCs w:val="18"/>
              </w:rPr>
            </w:pPr>
            <w:r>
              <w:rPr>
                <w:rFonts w:hint="eastAsia" w:ascii="宋体" w:hAnsi="宋体" w:eastAsia="宋体" w:cs="宋体"/>
                <w:bCs/>
                <w:sz w:val="18"/>
                <w:szCs w:val="18"/>
              </w:rPr>
              <w:t>安装要求：高出地面。</w:t>
            </w:r>
          </w:p>
          <w:p w14:paraId="05CA8E16">
            <w:pPr>
              <w:rPr>
                <w:rFonts w:hint="eastAsia" w:ascii="宋体" w:hAnsi="宋体" w:eastAsia="宋体" w:cs="宋体"/>
                <w:bCs/>
                <w:sz w:val="18"/>
                <w:szCs w:val="18"/>
              </w:rPr>
            </w:pPr>
          </w:p>
        </w:tc>
      </w:tr>
      <w:tr w14:paraId="2432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77" w:type="dxa"/>
            <w:vAlign w:val="center"/>
          </w:tcPr>
          <w:p w14:paraId="57323F14">
            <w:pPr>
              <w:jc w:val="center"/>
              <w:rPr>
                <w:rFonts w:hint="eastAsia" w:ascii="宋体" w:hAnsi="宋体" w:eastAsia="宋体" w:cs="宋体"/>
                <w:bCs/>
                <w:sz w:val="24"/>
              </w:rPr>
            </w:pPr>
            <w:r>
              <w:rPr>
                <w:rFonts w:hint="eastAsia" w:ascii="宋体" w:hAnsi="宋体" w:eastAsia="宋体" w:cs="宋体"/>
                <w:bCs/>
                <w:sz w:val="24"/>
              </w:rPr>
              <w:t>2</w:t>
            </w:r>
          </w:p>
        </w:tc>
        <w:tc>
          <w:tcPr>
            <w:tcW w:w="1391" w:type="dxa"/>
            <w:vAlign w:val="center"/>
          </w:tcPr>
          <w:p w14:paraId="3DAABA4F">
            <w:pPr>
              <w:jc w:val="center"/>
              <w:rPr>
                <w:rFonts w:hint="eastAsia" w:ascii="宋体" w:hAnsi="宋体" w:eastAsia="宋体" w:cs="宋体"/>
                <w:bCs/>
                <w:sz w:val="18"/>
                <w:szCs w:val="18"/>
              </w:rPr>
            </w:pPr>
            <w:r>
              <w:rPr>
                <w:rFonts w:hint="eastAsia" w:ascii="宋体" w:hAnsi="宋体" w:eastAsia="宋体" w:cs="宋体"/>
                <w:bCs/>
                <w:sz w:val="18"/>
                <w:szCs w:val="18"/>
              </w:rPr>
              <w:t>数字式桥式传感器</w:t>
            </w:r>
          </w:p>
        </w:tc>
        <w:tc>
          <w:tcPr>
            <w:tcW w:w="1066" w:type="dxa"/>
            <w:vAlign w:val="center"/>
          </w:tcPr>
          <w:p w14:paraId="59BA2C95">
            <w:pPr>
              <w:rPr>
                <w:rFonts w:hint="eastAsia" w:ascii="宋体" w:hAnsi="宋体" w:eastAsia="宋体" w:cs="宋体"/>
                <w:bCs/>
                <w:sz w:val="18"/>
                <w:szCs w:val="18"/>
              </w:rPr>
            </w:pPr>
            <w:r>
              <w:rPr>
                <w:rFonts w:hint="eastAsia" w:ascii="宋体" w:hAnsi="宋体" w:eastAsia="宋体" w:cs="仿宋"/>
                <w:sz w:val="18"/>
                <w:szCs w:val="18"/>
                <w:shd w:val="clear" w:color="auto" w:fill="FFFFFF"/>
              </w:rPr>
              <w:t>≥</w:t>
            </w:r>
            <w:r>
              <w:rPr>
                <w:rFonts w:hint="eastAsia" w:ascii="宋体" w:hAnsi="宋体" w:eastAsia="宋体" w:cs="仿宋"/>
                <w:sz w:val="18"/>
                <w:szCs w:val="18"/>
                <w:shd w:val="clear" w:color="auto" w:fill="FFFFFF"/>
                <w:lang w:val="en-US" w:eastAsia="zh-CN"/>
              </w:rPr>
              <w:t>8</w:t>
            </w:r>
            <w:r>
              <w:rPr>
                <w:rFonts w:hint="eastAsia" w:ascii="宋体" w:hAnsi="宋体" w:eastAsia="宋体" w:cs="宋体"/>
                <w:bCs/>
                <w:sz w:val="18"/>
                <w:szCs w:val="18"/>
              </w:rPr>
              <w:t>套</w:t>
            </w:r>
          </w:p>
        </w:tc>
        <w:tc>
          <w:tcPr>
            <w:tcW w:w="4762" w:type="dxa"/>
            <w:vAlign w:val="center"/>
          </w:tcPr>
          <w:p w14:paraId="564D3FB2">
            <w:pPr>
              <w:rPr>
                <w:rFonts w:hint="eastAsia" w:ascii="宋体" w:hAnsi="宋体" w:eastAsia="宋体" w:cs="宋体"/>
                <w:bCs/>
                <w:sz w:val="18"/>
                <w:szCs w:val="18"/>
              </w:rPr>
            </w:pPr>
            <w:r>
              <w:rPr>
                <w:rFonts w:hint="eastAsia" w:ascii="宋体" w:hAnsi="宋体" w:eastAsia="宋体" w:cs="宋体"/>
                <w:bCs/>
                <w:sz w:val="18"/>
                <w:szCs w:val="18"/>
              </w:rPr>
              <w:t xml:space="preserve">高精度、高稳定性、防水、防尘、耐用，单套承载30t </w:t>
            </w:r>
          </w:p>
        </w:tc>
        <w:tc>
          <w:tcPr>
            <w:tcW w:w="801" w:type="dxa"/>
          </w:tcPr>
          <w:p w14:paraId="6C917B42">
            <w:pPr>
              <w:rPr>
                <w:rFonts w:eastAsia="宋体"/>
                <w:bCs/>
                <w:sz w:val="18"/>
                <w:szCs w:val="18"/>
              </w:rPr>
            </w:pPr>
          </w:p>
        </w:tc>
      </w:tr>
      <w:tr w14:paraId="50D5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7" w:type="dxa"/>
            <w:vAlign w:val="center"/>
          </w:tcPr>
          <w:p w14:paraId="4253A852">
            <w:pPr>
              <w:jc w:val="center"/>
              <w:rPr>
                <w:rFonts w:hint="eastAsia" w:ascii="宋体" w:hAnsi="宋体" w:eastAsia="宋体" w:cs="宋体"/>
                <w:bCs/>
                <w:sz w:val="24"/>
              </w:rPr>
            </w:pPr>
            <w:r>
              <w:rPr>
                <w:rFonts w:hint="eastAsia" w:ascii="宋体" w:hAnsi="宋体" w:eastAsia="宋体" w:cs="宋体"/>
                <w:bCs/>
                <w:sz w:val="24"/>
              </w:rPr>
              <w:t>3</w:t>
            </w:r>
          </w:p>
        </w:tc>
        <w:tc>
          <w:tcPr>
            <w:tcW w:w="1391" w:type="dxa"/>
            <w:vAlign w:val="center"/>
          </w:tcPr>
          <w:p w14:paraId="1E6D330C">
            <w:pPr>
              <w:jc w:val="center"/>
              <w:rPr>
                <w:rFonts w:hint="eastAsia" w:ascii="宋体" w:hAnsi="宋体" w:eastAsia="宋体" w:cs="宋体"/>
                <w:bCs/>
                <w:sz w:val="18"/>
                <w:szCs w:val="18"/>
              </w:rPr>
            </w:pPr>
            <w:r>
              <w:rPr>
                <w:rFonts w:hint="eastAsia" w:ascii="宋体" w:hAnsi="宋体" w:eastAsia="宋体" w:cs="宋体"/>
                <w:bCs/>
                <w:sz w:val="18"/>
                <w:szCs w:val="18"/>
              </w:rPr>
              <w:t>数字式称重显示仪</w:t>
            </w:r>
          </w:p>
        </w:tc>
        <w:tc>
          <w:tcPr>
            <w:tcW w:w="1066" w:type="dxa"/>
            <w:vAlign w:val="center"/>
          </w:tcPr>
          <w:p w14:paraId="5E4C245B">
            <w:pPr>
              <w:rPr>
                <w:rFonts w:hint="eastAsia" w:ascii="宋体" w:hAnsi="宋体" w:eastAsia="宋体" w:cs="宋体"/>
                <w:bCs/>
                <w:sz w:val="18"/>
                <w:szCs w:val="18"/>
              </w:rPr>
            </w:pPr>
            <w:r>
              <w:rPr>
                <w:rFonts w:hint="eastAsia" w:ascii="宋体" w:hAnsi="宋体" w:eastAsia="宋体" w:cs="宋体"/>
                <w:bCs/>
                <w:sz w:val="18"/>
                <w:szCs w:val="18"/>
              </w:rPr>
              <w:t>1 台</w:t>
            </w:r>
          </w:p>
        </w:tc>
        <w:tc>
          <w:tcPr>
            <w:tcW w:w="4762" w:type="dxa"/>
            <w:vAlign w:val="center"/>
          </w:tcPr>
          <w:p w14:paraId="2A1B9E76">
            <w:pPr>
              <w:rPr>
                <w:rFonts w:hint="eastAsia" w:ascii="宋体" w:hAnsi="宋体" w:eastAsia="宋体" w:cs="宋体"/>
                <w:bCs/>
                <w:sz w:val="18"/>
                <w:szCs w:val="18"/>
              </w:rPr>
            </w:pPr>
            <w:r>
              <w:rPr>
                <w:rFonts w:hint="eastAsia" w:ascii="宋体" w:hAnsi="宋体" w:eastAsia="宋体" w:cs="宋体"/>
                <w:bCs/>
                <w:sz w:val="18"/>
                <w:szCs w:val="18"/>
              </w:rPr>
              <w:t>带蓄电池、防作弊、可无缝对接</w:t>
            </w:r>
            <w:r>
              <w:rPr>
                <w:rFonts w:hint="eastAsia" w:ascii="宋体" w:hAnsi="宋体" w:eastAsia="宋体" w:cs="宋体"/>
                <w:bCs/>
                <w:sz w:val="18"/>
                <w:szCs w:val="18"/>
                <w:lang w:val="en-US" w:eastAsia="zh-CN"/>
              </w:rPr>
              <w:t>集团统一的金钟工厂端软件，</w:t>
            </w:r>
            <w:r>
              <w:rPr>
                <w:rFonts w:hint="eastAsia" w:ascii="宋体" w:hAnsi="宋体" w:eastAsia="宋体" w:cs="宋体"/>
                <w:bCs/>
                <w:sz w:val="18"/>
                <w:szCs w:val="18"/>
              </w:rPr>
              <w:t>可连接电脑、打印机，对称重数据检测、存储和管理等</w:t>
            </w:r>
          </w:p>
        </w:tc>
        <w:tc>
          <w:tcPr>
            <w:tcW w:w="801" w:type="dxa"/>
          </w:tcPr>
          <w:p w14:paraId="009AE1D3">
            <w:pPr>
              <w:rPr>
                <w:rFonts w:eastAsia="宋体"/>
                <w:bCs/>
                <w:sz w:val="18"/>
                <w:szCs w:val="18"/>
              </w:rPr>
            </w:pPr>
          </w:p>
        </w:tc>
      </w:tr>
      <w:tr w14:paraId="15682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77" w:type="dxa"/>
            <w:vAlign w:val="center"/>
          </w:tcPr>
          <w:p w14:paraId="3C7174CB">
            <w:pPr>
              <w:jc w:val="center"/>
              <w:rPr>
                <w:rFonts w:hint="eastAsia" w:ascii="宋体" w:hAnsi="宋体" w:eastAsia="宋体" w:cs="宋体"/>
                <w:bCs/>
                <w:sz w:val="24"/>
              </w:rPr>
            </w:pPr>
            <w:r>
              <w:rPr>
                <w:rFonts w:hint="eastAsia" w:ascii="宋体" w:hAnsi="宋体" w:eastAsia="宋体" w:cs="宋体"/>
                <w:bCs/>
                <w:sz w:val="24"/>
              </w:rPr>
              <w:t>4</w:t>
            </w:r>
          </w:p>
        </w:tc>
        <w:tc>
          <w:tcPr>
            <w:tcW w:w="1391" w:type="dxa"/>
            <w:vAlign w:val="center"/>
          </w:tcPr>
          <w:p w14:paraId="679A75B9">
            <w:pPr>
              <w:jc w:val="center"/>
              <w:rPr>
                <w:rFonts w:hint="eastAsia" w:ascii="宋体" w:hAnsi="宋体" w:eastAsia="宋体" w:cs="宋体"/>
                <w:bCs/>
                <w:sz w:val="18"/>
                <w:szCs w:val="18"/>
              </w:rPr>
            </w:pPr>
            <w:r>
              <w:rPr>
                <w:rFonts w:hint="eastAsia" w:ascii="宋体" w:hAnsi="宋体" w:eastAsia="宋体" w:cs="宋体"/>
                <w:bCs/>
                <w:sz w:val="18"/>
                <w:szCs w:val="18"/>
              </w:rPr>
              <w:t>数字式接线盒</w:t>
            </w:r>
          </w:p>
        </w:tc>
        <w:tc>
          <w:tcPr>
            <w:tcW w:w="1066" w:type="dxa"/>
            <w:vAlign w:val="center"/>
          </w:tcPr>
          <w:p w14:paraId="2BA31C37">
            <w:pPr>
              <w:rPr>
                <w:rFonts w:hint="eastAsia" w:ascii="宋体" w:hAnsi="宋体" w:eastAsia="宋体" w:cs="宋体"/>
                <w:bCs/>
                <w:sz w:val="18"/>
                <w:szCs w:val="18"/>
              </w:rPr>
            </w:pPr>
            <w:r>
              <w:rPr>
                <w:rFonts w:hint="eastAsia" w:ascii="宋体" w:hAnsi="宋体" w:eastAsia="宋体" w:cs="宋体"/>
                <w:bCs/>
                <w:sz w:val="18"/>
                <w:szCs w:val="18"/>
              </w:rPr>
              <w:t>1 只</w:t>
            </w:r>
          </w:p>
        </w:tc>
        <w:tc>
          <w:tcPr>
            <w:tcW w:w="4762" w:type="dxa"/>
            <w:vAlign w:val="center"/>
          </w:tcPr>
          <w:p w14:paraId="2B7E33F0">
            <w:pPr>
              <w:rPr>
                <w:rFonts w:hint="eastAsia" w:ascii="宋体" w:hAnsi="宋体" w:eastAsia="宋体" w:cs="宋体"/>
                <w:bCs/>
                <w:sz w:val="18"/>
                <w:szCs w:val="18"/>
              </w:rPr>
            </w:pPr>
            <w:r>
              <w:rPr>
                <w:rFonts w:hint="eastAsia" w:ascii="宋体" w:hAnsi="宋体" w:eastAsia="宋体" w:cs="宋体"/>
                <w:bCs/>
                <w:sz w:val="18"/>
                <w:szCs w:val="18"/>
              </w:rPr>
              <w:t xml:space="preserve">防浪涌 </w:t>
            </w:r>
          </w:p>
        </w:tc>
        <w:tc>
          <w:tcPr>
            <w:tcW w:w="801" w:type="dxa"/>
          </w:tcPr>
          <w:p w14:paraId="239B3C61">
            <w:pPr>
              <w:rPr>
                <w:rFonts w:eastAsia="宋体"/>
                <w:bCs/>
                <w:sz w:val="18"/>
                <w:szCs w:val="18"/>
              </w:rPr>
            </w:pPr>
          </w:p>
        </w:tc>
      </w:tr>
      <w:tr w14:paraId="26C04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877" w:type="dxa"/>
            <w:vAlign w:val="center"/>
          </w:tcPr>
          <w:p w14:paraId="578433B7">
            <w:pPr>
              <w:jc w:val="center"/>
              <w:rPr>
                <w:rFonts w:hint="eastAsia" w:ascii="宋体" w:hAnsi="宋体" w:eastAsia="宋体" w:cs="宋体"/>
                <w:bCs/>
                <w:sz w:val="24"/>
              </w:rPr>
            </w:pPr>
            <w:r>
              <w:rPr>
                <w:rFonts w:hint="eastAsia" w:ascii="宋体" w:hAnsi="宋体" w:eastAsia="宋体" w:cs="宋体"/>
                <w:bCs/>
                <w:sz w:val="24"/>
              </w:rPr>
              <w:t>5</w:t>
            </w:r>
          </w:p>
        </w:tc>
        <w:tc>
          <w:tcPr>
            <w:tcW w:w="1391" w:type="dxa"/>
            <w:vAlign w:val="center"/>
          </w:tcPr>
          <w:p w14:paraId="05C0D0EC">
            <w:pPr>
              <w:jc w:val="center"/>
              <w:rPr>
                <w:rFonts w:hint="eastAsia" w:ascii="宋体" w:hAnsi="宋体" w:eastAsia="宋体" w:cs="宋体"/>
                <w:bCs/>
                <w:sz w:val="18"/>
                <w:szCs w:val="18"/>
              </w:rPr>
            </w:pPr>
            <w:r>
              <w:rPr>
                <w:rFonts w:hint="eastAsia" w:ascii="宋体" w:hAnsi="宋体" w:eastAsia="宋体" w:cs="宋体"/>
                <w:bCs/>
                <w:sz w:val="18"/>
                <w:szCs w:val="18"/>
              </w:rPr>
              <w:t>四芯电缆屏蔽线</w:t>
            </w:r>
          </w:p>
        </w:tc>
        <w:tc>
          <w:tcPr>
            <w:tcW w:w="1066" w:type="dxa"/>
            <w:vAlign w:val="center"/>
          </w:tcPr>
          <w:p w14:paraId="511B8E41">
            <w:pPr>
              <w:rPr>
                <w:rFonts w:hint="eastAsia" w:ascii="宋体" w:hAnsi="宋体" w:eastAsia="宋体" w:cs="宋体"/>
                <w:bCs/>
                <w:sz w:val="18"/>
                <w:szCs w:val="18"/>
              </w:rPr>
            </w:pPr>
            <w:r>
              <w:rPr>
                <w:rFonts w:hint="eastAsia" w:ascii="宋体" w:hAnsi="宋体" w:eastAsia="宋体" w:cs="宋体"/>
                <w:bCs/>
                <w:sz w:val="18"/>
                <w:szCs w:val="18"/>
              </w:rPr>
              <w:t>1根</w:t>
            </w:r>
          </w:p>
        </w:tc>
        <w:tc>
          <w:tcPr>
            <w:tcW w:w="4762" w:type="dxa"/>
            <w:vAlign w:val="center"/>
          </w:tcPr>
          <w:p w14:paraId="292D2703">
            <w:pPr>
              <w:rPr>
                <w:rFonts w:hint="eastAsia" w:ascii="宋体" w:hAnsi="宋体" w:eastAsia="宋体" w:cs="宋体"/>
                <w:bCs/>
                <w:sz w:val="18"/>
                <w:szCs w:val="18"/>
              </w:rPr>
            </w:pPr>
            <w:r>
              <w:rPr>
                <w:rFonts w:hint="eastAsia" w:ascii="宋体" w:hAnsi="宋体" w:eastAsia="宋体" w:cs="宋体"/>
                <w:bCs/>
                <w:sz w:val="18"/>
                <w:szCs w:val="18"/>
              </w:rPr>
              <w:t>抗干扰、衡器专用、根据现场勘察，投标单位自行考虑</w:t>
            </w:r>
          </w:p>
        </w:tc>
        <w:tc>
          <w:tcPr>
            <w:tcW w:w="801" w:type="dxa"/>
          </w:tcPr>
          <w:p w14:paraId="443E57EF">
            <w:pPr>
              <w:widowControl/>
              <w:jc w:val="left"/>
              <w:rPr>
                <w:rFonts w:hint="eastAsia" w:ascii="宋体" w:hAnsi="宋体" w:cs="宋体"/>
                <w:bCs/>
                <w:kern w:val="0"/>
                <w:sz w:val="18"/>
                <w:szCs w:val="18"/>
                <w:lang w:bidi="ar"/>
              </w:rPr>
            </w:pPr>
          </w:p>
        </w:tc>
      </w:tr>
      <w:tr w14:paraId="1BED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77" w:type="dxa"/>
            <w:vAlign w:val="center"/>
          </w:tcPr>
          <w:p w14:paraId="3A8ACD6E">
            <w:pPr>
              <w:jc w:val="center"/>
              <w:rPr>
                <w:rFonts w:hint="eastAsia" w:ascii="宋体" w:hAnsi="宋体" w:eastAsia="宋体" w:cs="宋体"/>
                <w:bCs/>
                <w:sz w:val="24"/>
              </w:rPr>
            </w:pPr>
            <w:r>
              <w:rPr>
                <w:rFonts w:hint="eastAsia" w:ascii="宋体" w:hAnsi="宋体" w:eastAsia="宋体" w:cs="宋体"/>
                <w:bCs/>
                <w:sz w:val="24"/>
              </w:rPr>
              <w:t>6</w:t>
            </w:r>
          </w:p>
        </w:tc>
        <w:tc>
          <w:tcPr>
            <w:tcW w:w="1391" w:type="dxa"/>
            <w:vAlign w:val="center"/>
          </w:tcPr>
          <w:p w14:paraId="79F7BCAA">
            <w:pPr>
              <w:jc w:val="center"/>
              <w:rPr>
                <w:rFonts w:hint="eastAsia" w:ascii="宋体" w:hAnsi="宋体" w:eastAsia="宋体" w:cs="宋体"/>
                <w:bCs/>
                <w:sz w:val="18"/>
                <w:szCs w:val="18"/>
              </w:rPr>
            </w:pPr>
            <w:r>
              <w:rPr>
                <w:rFonts w:hint="eastAsia" w:ascii="宋体" w:hAnsi="宋体" w:eastAsia="宋体" w:cs="宋体"/>
                <w:bCs/>
                <w:sz w:val="18"/>
                <w:szCs w:val="18"/>
              </w:rPr>
              <w:t>角铁及预埋件</w:t>
            </w:r>
          </w:p>
        </w:tc>
        <w:tc>
          <w:tcPr>
            <w:tcW w:w="1066" w:type="dxa"/>
            <w:vAlign w:val="center"/>
          </w:tcPr>
          <w:p w14:paraId="300DBF71">
            <w:pPr>
              <w:rPr>
                <w:rFonts w:hint="eastAsia" w:ascii="宋体" w:hAnsi="宋体" w:eastAsia="宋体" w:cs="宋体"/>
                <w:bCs/>
                <w:sz w:val="18"/>
                <w:szCs w:val="18"/>
              </w:rPr>
            </w:pPr>
            <w:r>
              <w:rPr>
                <w:rFonts w:hint="eastAsia" w:ascii="宋体" w:hAnsi="宋体" w:eastAsia="宋体" w:cs="宋体"/>
                <w:bCs/>
                <w:sz w:val="18"/>
                <w:szCs w:val="18"/>
              </w:rPr>
              <w:t>投标单位自行考虑</w:t>
            </w:r>
          </w:p>
        </w:tc>
        <w:tc>
          <w:tcPr>
            <w:tcW w:w="4762" w:type="dxa"/>
            <w:vAlign w:val="center"/>
          </w:tcPr>
          <w:p w14:paraId="1A762B4B">
            <w:pPr>
              <w:rPr>
                <w:rFonts w:hint="eastAsia" w:ascii="宋体" w:hAnsi="宋体" w:eastAsia="宋体" w:cs="宋体"/>
                <w:bCs/>
                <w:sz w:val="18"/>
                <w:szCs w:val="18"/>
              </w:rPr>
            </w:pPr>
            <w:r>
              <w:rPr>
                <w:rFonts w:hint="eastAsia" w:ascii="宋体" w:hAnsi="宋体" w:eastAsia="宋体" w:cs="宋体"/>
                <w:bCs/>
                <w:sz w:val="18"/>
                <w:szCs w:val="18"/>
              </w:rPr>
              <w:t>符合国家验收合格标准</w:t>
            </w:r>
          </w:p>
        </w:tc>
        <w:tc>
          <w:tcPr>
            <w:tcW w:w="801" w:type="dxa"/>
          </w:tcPr>
          <w:p w14:paraId="42679C89">
            <w:pPr>
              <w:widowControl/>
              <w:jc w:val="left"/>
              <w:rPr>
                <w:rFonts w:hint="eastAsia" w:ascii="宋体" w:hAnsi="宋体" w:cs="宋体"/>
                <w:bCs/>
                <w:kern w:val="0"/>
                <w:sz w:val="18"/>
                <w:szCs w:val="18"/>
                <w:lang w:bidi="ar"/>
              </w:rPr>
            </w:pPr>
          </w:p>
        </w:tc>
      </w:tr>
    </w:tbl>
    <w:p w14:paraId="66568E78">
      <w:pPr>
        <w:pStyle w:val="11"/>
        <w:tabs>
          <w:tab w:val="left" w:pos="8086"/>
        </w:tabs>
        <w:spacing w:before="112"/>
        <w:rPr>
          <w:bCs/>
          <w:color w:val="332C2B"/>
          <w:spacing w:val="7"/>
        </w:rPr>
      </w:pPr>
    </w:p>
    <w:p w14:paraId="2FF46D4B">
      <w:pPr>
        <w:pStyle w:val="11"/>
        <w:tabs>
          <w:tab w:val="left" w:pos="8086"/>
        </w:tabs>
        <w:spacing w:before="112"/>
        <w:rPr>
          <w:bCs/>
          <w:color w:val="332C2B"/>
          <w:spacing w:val="7"/>
        </w:rPr>
      </w:pPr>
    </w:p>
    <w:p w14:paraId="34CCBBC7">
      <w:pPr>
        <w:pStyle w:val="11"/>
        <w:tabs>
          <w:tab w:val="left" w:pos="8086"/>
        </w:tabs>
        <w:spacing w:before="112"/>
        <w:rPr>
          <w:bCs/>
          <w:color w:val="332C2B"/>
          <w:spacing w:val="7"/>
        </w:rPr>
      </w:pPr>
    </w:p>
    <w:p w14:paraId="6F4FB56E">
      <w:pPr>
        <w:pStyle w:val="11"/>
        <w:tabs>
          <w:tab w:val="left" w:pos="8086"/>
        </w:tabs>
        <w:spacing w:before="112"/>
        <w:rPr>
          <w:rFonts w:hint="eastAsia"/>
          <w:bCs/>
        </w:rPr>
      </w:pPr>
      <w:r>
        <w:rPr>
          <w:bCs/>
          <w:color w:val="332C2B"/>
          <w:spacing w:val="7"/>
        </w:rPr>
        <w:tab/>
      </w:r>
    </w:p>
    <w:p w14:paraId="5FF024E3">
      <w:pPr>
        <w:spacing w:line="500" w:lineRule="exact"/>
        <w:rPr>
          <w:rFonts w:hint="eastAsia" w:ascii="宋体" w:hAnsi="宋体" w:eastAsia="宋体" w:cs="宋体"/>
          <w:bCs/>
          <w:sz w:val="24"/>
        </w:rPr>
      </w:pPr>
      <w:r>
        <w:rPr>
          <w:rFonts w:hint="eastAsia" w:ascii="宋体" w:hAnsi="宋体" w:eastAsia="宋体" w:cs="宋体"/>
          <w:bCs/>
          <w:sz w:val="24"/>
        </w:rPr>
        <w:t>3.2.2电子汽车衡的要求和适合的工作环境</w:t>
      </w:r>
    </w:p>
    <w:tbl>
      <w:tblPr>
        <w:tblStyle w:val="35"/>
        <w:tblW w:w="41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292"/>
        <w:gridCol w:w="2292"/>
        <w:gridCol w:w="1719"/>
      </w:tblGrid>
      <w:tr w14:paraId="3D6F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1AC3EFE9">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序号</w:t>
            </w:r>
          </w:p>
        </w:tc>
        <w:tc>
          <w:tcPr>
            <w:tcW w:w="1480" w:type="pct"/>
            <w:tcBorders>
              <w:top w:val="single" w:color="auto" w:sz="4" w:space="0"/>
              <w:left w:val="single" w:color="auto" w:sz="4" w:space="0"/>
              <w:bottom w:val="single" w:color="auto" w:sz="4" w:space="0"/>
              <w:right w:val="single" w:color="auto" w:sz="4" w:space="0"/>
            </w:tcBorders>
            <w:vAlign w:val="center"/>
          </w:tcPr>
          <w:p w14:paraId="69D77025">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项目</w:t>
            </w:r>
          </w:p>
        </w:tc>
        <w:tc>
          <w:tcPr>
            <w:tcW w:w="1480" w:type="pct"/>
            <w:tcBorders>
              <w:top w:val="single" w:color="auto" w:sz="4" w:space="0"/>
              <w:left w:val="single" w:color="auto" w:sz="4" w:space="0"/>
              <w:bottom w:val="single" w:color="auto" w:sz="4" w:space="0"/>
              <w:right w:val="single" w:color="auto" w:sz="4" w:space="0"/>
            </w:tcBorders>
            <w:vAlign w:val="center"/>
          </w:tcPr>
          <w:p w14:paraId="08F6259E">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要求</w:t>
            </w:r>
          </w:p>
        </w:tc>
        <w:tc>
          <w:tcPr>
            <w:tcW w:w="1110" w:type="pct"/>
            <w:tcBorders>
              <w:top w:val="single" w:color="auto" w:sz="4" w:space="0"/>
              <w:left w:val="single" w:color="auto" w:sz="4" w:space="0"/>
              <w:bottom w:val="single" w:color="auto" w:sz="4" w:space="0"/>
              <w:right w:val="single" w:color="auto" w:sz="4" w:space="0"/>
            </w:tcBorders>
            <w:vAlign w:val="center"/>
          </w:tcPr>
          <w:p w14:paraId="660DE0A2">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备注</w:t>
            </w:r>
          </w:p>
        </w:tc>
      </w:tr>
      <w:tr w14:paraId="0C50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7CF03235">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1480" w:type="pct"/>
            <w:tcBorders>
              <w:top w:val="single" w:color="auto" w:sz="4" w:space="0"/>
              <w:left w:val="single" w:color="auto" w:sz="4" w:space="0"/>
              <w:bottom w:val="single" w:color="auto" w:sz="4" w:space="0"/>
              <w:right w:val="single" w:color="auto" w:sz="4" w:space="0"/>
            </w:tcBorders>
            <w:vAlign w:val="center"/>
          </w:tcPr>
          <w:p w14:paraId="25C30CEC">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精度等级</w:t>
            </w:r>
          </w:p>
        </w:tc>
        <w:tc>
          <w:tcPr>
            <w:tcW w:w="1480" w:type="pct"/>
            <w:tcBorders>
              <w:top w:val="single" w:color="auto" w:sz="4" w:space="0"/>
              <w:left w:val="single" w:color="auto" w:sz="4" w:space="0"/>
              <w:bottom w:val="single" w:color="auto" w:sz="4" w:space="0"/>
              <w:right w:val="single" w:color="auto" w:sz="4" w:space="0"/>
            </w:tcBorders>
            <w:vAlign w:val="center"/>
          </w:tcPr>
          <w:p w14:paraId="46D38257">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 xml:space="preserve">Ⅲ级   </w:t>
            </w:r>
          </w:p>
        </w:tc>
        <w:tc>
          <w:tcPr>
            <w:tcW w:w="1110" w:type="pct"/>
            <w:tcBorders>
              <w:top w:val="single" w:color="auto" w:sz="4" w:space="0"/>
              <w:left w:val="single" w:color="auto" w:sz="4" w:space="0"/>
              <w:bottom w:val="single" w:color="auto" w:sz="4" w:space="0"/>
              <w:right w:val="single" w:color="auto" w:sz="4" w:space="0"/>
            </w:tcBorders>
            <w:vAlign w:val="center"/>
          </w:tcPr>
          <w:p w14:paraId="3B3C1DD2">
            <w:pPr>
              <w:widowControl/>
              <w:adjustRightInd w:val="0"/>
              <w:snapToGrid w:val="0"/>
              <w:spacing w:line="300" w:lineRule="exact"/>
              <w:jc w:val="center"/>
              <w:rPr>
                <w:rFonts w:hint="eastAsia" w:ascii="宋体" w:hAnsi="宋体" w:eastAsia="宋体" w:cs="宋体"/>
                <w:bCs/>
                <w:sz w:val="18"/>
                <w:szCs w:val="18"/>
              </w:rPr>
            </w:pPr>
          </w:p>
        </w:tc>
      </w:tr>
      <w:tr w14:paraId="5840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1332E6D7">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2</w:t>
            </w:r>
          </w:p>
        </w:tc>
        <w:tc>
          <w:tcPr>
            <w:tcW w:w="1480" w:type="pct"/>
            <w:tcBorders>
              <w:top w:val="single" w:color="auto" w:sz="4" w:space="0"/>
              <w:left w:val="single" w:color="auto" w:sz="4" w:space="0"/>
              <w:bottom w:val="single" w:color="auto" w:sz="4" w:space="0"/>
              <w:right w:val="single" w:color="auto" w:sz="4" w:space="0"/>
            </w:tcBorders>
            <w:vAlign w:val="center"/>
          </w:tcPr>
          <w:p w14:paraId="22CE6FD8">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检定分度值</w:t>
            </w:r>
          </w:p>
        </w:tc>
        <w:tc>
          <w:tcPr>
            <w:tcW w:w="1480" w:type="pct"/>
            <w:tcBorders>
              <w:top w:val="single" w:color="auto" w:sz="4" w:space="0"/>
              <w:left w:val="single" w:color="auto" w:sz="4" w:space="0"/>
              <w:bottom w:val="single" w:color="auto" w:sz="4" w:space="0"/>
              <w:right w:val="single" w:color="auto" w:sz="4" w:space="0"/>
            </w:tcBorders>
            <w:vAlign w:val="center"/>
          </w:tcPr>
          <w:p w14:paraId="64A56B9C">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 xml:space="preserve">50kg </w:t>
            </w:r>
          </w:p>
        </w:tc>
        <w:tc>
          <w:tcPr>
            <w:tcW w:w="1110" w:type="pct"/>
            <w:tcBorders>
              <w:top w:val="single" w:color="auto" w:sz="4" w:space="0"/>
              <w:left w:val="single" w:color="auto" w:sz="4" w:space="0"/>
              <w:bottom w:val="single" w:color="auto" w:sz="4" w:space="0"/>
              <w:right w:val="single" w:color="auto" w:sz="4" w:space="0"/>
            </w:tcBorders>
            <w:vAlign w:val="center"/>
          </w:tcPr>
          <w:p w14:paraId="391E3E14">
            <w:pPr>
              <w:widowControl/>
              <w:adjustRightInd w:val="0"/>
              <w:snapToGrid w:val="0"/>
              <w:spacing w:line="300" w:lineRule="exact"/>
              <w:jc w:val="center"/>
              <w:rPr>
                <w:rFonts w:hint="eastAsia" w:ascii="宋体" w:hAnsi="宋体" w:eastAsia="宋体" w:cs="宋体"/>
                <w:bCs/>
                <w:sz w:val="18"/>
                <w:szCs w:val="18"/>
              </w:rPr>
            </w:pPr>
          </w:p>
        </w:tc>
      </w:tr>
      <w:tr w14:paraId="791E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35432660">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1480" w:type="pct"/>
            <w:tcBorders>
              <w:top w:val="single" w:color="auto" w:sz="4" w:space="0"/>
              <w:left w:val="single" w:color="auto" w:sz="4" w:space="0"/>
              <w:bottom w:val="single" w:color="auto" w:sz="4" w:space="0"/>
              <w:right w:val="single" w:color="auto" w:sz="4" w:space="0"/>
            </w:tcBorders>
            <w:vAlign w:val="center"/>
          </w:tcPr>
          <w:p w14:paraId="6C23F61B">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显示分度值</w:t>
            </w:r>
          </w:p>
        </w:tc>
        <w:tc>
          <w:tcPr>
            <w:tcW w:w="1480" w:type="pct"/>
            <w:tcBorders>
              <w:top w:val="single" w:color="auto" w:sz="4" w:space="0"/>
              <w:left w:val="single" w:color="auto" w:sz="4" w:space="0"/>
              <w:bottom w:val="single" w:color="auto" w:sz="4" w:space="0"/>
              <w:right w:val="single" w:color="auto" w:sz="4" w:space="0"/>
            </w:tcBorders>
            <w:vAlign w:val="center"/>
          </w:tcPr>
          <w:p w14:paraId="3AA563B8">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20 kg</w:t>
            </w:r>
          </w:p>
        </w:tc>
        <w:tc>
          <w:tcPr>
            <w:tcW w:w="1110" w:type="pct"/>
            <w:tcBorders>
              <w:top w:val="single" w:color="auto" w:sz="4" w:space="0"/>
              <w:left w:val="single" w:color="auto" w:sz="4" w:space="0"/>
              <w:bottom w:val="single" w:color="auto" w:sz="4" w:space="0"/>
              <w:right w:val="single" w:color="auto" w:sz="4" w:space="0"/>
            </w:tcBorders>
            <w:vAlign w:val="center"/>
          </w:tcPr>
          <w:p w14:paraId="75EF51B2">
            <w:pPr>
              <w:widowControl/>
              <w:adjustRightInd w:val="0"/>
              <w:snapToGrid w:val="0"/>
              <w:spacing w:line="300" w:lineRule="exact"/>
              <w:jc w:val="center"/>
              <w:rPr>
                <w:rFonts w:hint="eastAsia" w:ascii="宋体" w:hAnsi="宋体" w:eastAsia="宋体" w:cs="宋体"/>
                <w:bCs/>
                <w:sz w:val="18"/>
                <w:szCs w:val="18"/>
              </w:rPr>
            </w:pPr>
          </w:p>
        </w:tc>
      </w:tr>
      <w:tr w14:paraId="1C3C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13EFBEAB">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1480" w:type="pct"/>
            <w:tcBorders>
              <w:top w:val="single" w:color="auto" w:sz="4" w:space="0"/>
              <w:left w:val="single" w:color="auto" w:sz="4" w:space="0"/>
              <w:bottom w:val="single" w:color="auto" w:sz="4" w:space="0"/>
              <w:right w:val="single" w:color="auto" w:sz="4" w:space="0"/>
            </w:tcBorders>
            <w:vAlign w:val="center"/>
          </w:tcPr>
          <w:p w14:paraId="6F72752B">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分度数</w:t>
            </w:r>
          </w:p>
        </w:tc>
        <w:tc>
          <w:tcPr>
            <w:tcW w:w="1480" w:type="pct"/>
            <w:tcBorders>
              <w:top w:val="single" w:color="auto" w:sz="4" w:space="0"/>
              <w:left w:val="single" w:color="auto" w:sz="4" w:space="0"/>
              <w:bottom w:val="single" w:color="auto" w:sz="4" w:space="0"/>
              <w:right w:val="single" w:color="auto" w:sz="4" w:space="0"/>
            </w:tcBorders>
            <w:vAlign w:val="center"/>
          </w:tcPr>
          <w:p w14:paraId="1505E4AA">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3000-5000</w:t>
            </w:r>
          </w:p>
        </w:tc>
        <w:tc>
          <w:tcPr>
            <w:tcW w:w="1110" w:type="pct"/>
            <w:tcBorders>
              <w:top w:val="single" w:color="auto" w:sz="4" w:space="0"/>
              <w:left w:val="single" w:color="auto" w:sz="4" w:space="0"/>
              <w:bottom w:val="single" w:color="auto" w:sz="4" w:space="0"/>
              <w:right w:val="single" w:color="auto" w:sz="4" w:space="0"/>
            </w:tcBorders>
            <w:vAlign w:val="center"/>
          </w:tcPr>
          <w:p w14:paraId="1E2212EB">
            <w:pPr>
              <w:widowControl/>
              <w:adjustRightInd w:val="0"/>
              <w:snapToGrid w:val="0"/>
              <w:spacing w:line="300" w:lineRule="exact"/>
              <w:jc w:val="center"/>
              <w:rPr>
                <w:rFonts w:hint="eastAsia" w:ascii="宋体" w:hAnsi="宋体" w:eastAsia="宋体" w:cs="宋体"/>
                <w:bCs/>
                <w:sz w:val="18"/>
                <w:szCs w:val="18"/>
              </w:rPr>
            </w:pPr>
          </w:p>
        </w:tc>
      </w:tr>
      <w:tr w14:paraId="29730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5A1E6F2E">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5</w:t>
            </w:r>
          </w:p>
        </w:tc>
        <w:tc>
          <w:tcPr>
            <w:tcW w:w="1480" w:type="pct"/>
            <w:tcBorders>
              <w:top w:val="single" w:color="auto" w:sz="4" w:space="0"/>
              <w:left w:val="single" w:color="auto" w:sz="4" w:space="0"/>
              <w:bottom w:val="single" w:color="auto" w:sz="4" w:space="0"/>
              <w:right w:val="single" w:color="auto" w:sz="4" w:space="0"/>
            </w:tcBorders>
            <w:vAlign w:val="center"/>
          </w:tcPr>
          <w:p w14:paraId="5C9C11A0">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工作温度范围</w:t>
            </w:r>
          </w:p>
        </w:tc>
        <w:tc>
          <w:tcPr>
            <w:tcW w:w="1480" w:type="pct"/>
            <w:tcBorders>
              <w:top w:val="single" w:color="auto" w:sz="4" w:space="0"/>
              <w:left w:val="single" w:color="auto" w:sz="4" w:space="0"/>
              <w:bottom w:val="single" w:color="auto" w:sz="4" w:space="0"/>
              <w:right w:val="single" w:color="auto" w:sz="4" w:space="0"/>
            </w:tcBorders>
            <w:vAlign w:val="center"/>
          </w:tcPr>
          <w:p w14:paraId="6A5CFFC3">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-30℃～+55℃</w:t>
            </w:r>
          </w:p>
        </w:tc>
        <w:tc>
          <w:tcPr>
            <w:tcW w:w="1110" w:type="pct"/>
            <w:tcBorders>
              <w:top w:val="single" w:color="auto" w:sz="4" w:space="0"/>
              <w:left w:val="single" w:color="auto" w:sz="4" w:space="0"/>
              <w:bottom w:val="single" w:color="auto" w:sz="4" w:space="0"/>
              <w:right w:val="single" w:color="auto" w:sz="4" w:space="0"/>
            </w:tcBorders>
            <w:vAlign w:val="center"/>
          </w:tcPr>
          <w:p w14:paraId="0CCCD77A">
            <w:pPr>
              <w:widowControl/>
              <w:adjustRightInd w:val="0"/>
              <w:snapToGrid w:val="0"/>
              <w:spacing w:line="300" w:lineRule="exact"/>
              <w:jc w:val="center"/>
              <w:rPr>
                <w:rFonts w:hint="eastAsia" w:ascii="宋体" w:hAnsi="宋体" w:eastAsia="宋体" w:cs="宋体"/>
                <w:bCs/>
                <w:sz w:val="18"/>
                <w:szCs w:val="18"/>
              </w:rPr>
            </w:pPr>
          </w:p>
        </w:tc>
      </w:tr>
      <w:tr w14:paraId="2062A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3D8F352E">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1480" w:type="pct"/>
            <w:tcBorders>
              <w:top w:val="single" w:color="auto" w:sz="4" w:space="0"/>
              <w:left w:val="single" w:color="auto" w:sz="4" w:space="0"/>
              <w:bottom w:val="single" w:color="auto" w:sz="4" w:space="0"/>
              <w:right w:val="single" w:color="auto" w:sz="4" w:space="0"/>
            </w:tcBorders>
            <w:vAlign w:val="center"/>
          </w:tcPr>
          <w:p w14:paraId="39F80372">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工作环境湿度</w:t>
            </w:r>
          </w:p>
        </w:tc>
        <w:tc>
          <w:tcPr>
            <w:tcW w:w="1480" w:type="pct"/>
            <w:tcBorders>
              <w:top w:val="single" w:color="auto" w:sz="4" w:space="0"/>
              <w:left w:val="single" w:color="auto" w:sz="4" w:space="0"/>
              <w:bottom w:val="single" w:color="auto" w:sz="4" w:space="0"/>
              <w:right w:val="single" w:color="auto" w:sz="4" w:space="0"/>
            </w:tcBorders>
            <w:vAlign w:val="center"/>
          </w:tcPr>
          <w:p w14:paraId="7AA90F2B">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&lt;95%</w:t>
            </w:r>
          </w:p>
        </w:tc>
        <w:tc>
          <w:tcPr>
            <w:tcW w:w="1110" w:type="pct"/>
            <w:tcBorders>
              <w:top w:val="single" w:color="auto" w:sz="4" w:space="0"/>
              <w:left w:val="single" w:color="auto" w:sz="4" w:space="0"/>
              <w:bottom w:val="single" w:color="auto" w:sz="4" w:space="0"/>
              <w:right w:val="single" w:color="auto" w:sz="4" w:space="0"/>
            </w:tcBorders>
            <w:vAlign w:val="center"/>
          </w:tcPr>
          <w:p w14:paraId="42B7CDE5">
            <w:pPr>
              <w:widowControl/>
              <w:adjustRightInd w:val="0"/>
              <w:snapToGrid w:val="0"/>
              <w:spacing w:line="300" w:lineRule="exact"/>
              <w:jc w:val="center"/>
              <w:rPr>
                <w:rFonts w:hint="eastAsia" w:ascii="宋体" w:hAnsi="宋体" w:eastAsia="宋体" w:cs="宋体"/>
                <w:bCs/>
                <w:sz w:val="18"/>
                <w:szCs w:val="18"/>
              </w:rPr>
            </w:pPr>
          </w:p>
        </w:tc>
      </w:tr>
      <w:tr w14:paraId="48EB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046C4AE0">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7</w:t>
            </w:r>
          </w:p>
        </w:tc>
        <w:tc>
          <w:tcPr>
            <w:tcW w:w="1480" w:type="pct"/>
            <w:tcBorders>
              <w:top w:val="single" w:color="auto" w:sz="4" w:space="0"/>
              <w:left w:val="single" w:color="auto" w:sz="4" w:space="0"/>
              <w:bottom w:val="single" w:color="auto" w:sz="4" w:space="0"/>
              <w:right w:val="single" w:color="auto" w:sz="4" w:space="0"/>
            </w:tcBorders>
            <w:vAlign w:val="center"/>
          </w:tcPr>
          <w:p w14:paraId="49811791">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工作电压</w:t>
            </w:r>
          </w:p>
        </w:tc>
        <w:tc>
          <w:tcPr>
            <w:tcW w:w="1480" w:type="pct"/>
            <w:tcBorders>
              <w:top w:val="single" w:color="auto" w:sz="4" w:space="0"/>
              <w:left w:val="single" w:color="auto" w:sz="4" w:space="0"/>
              <w:bottom w:val="single" w:color="auto" w:sz="4" w:space="0"/>
              <w:right w:val="single" w:color="auto" w:sz="4" w:space="0"/>
            </w:tcBorders>
            <w:vAlign w:val="center"/>
          </w:tcPr>
          <w:p w14:paraId="7871E53F">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220V±10%</w:t>
            </w:r>
          </w:p>
        </w:tc>
        <w:tc>
          <w:tcPr>
            <w:tcW w:w="1110" w:type="pct"/>
            <w:tcBorders>
              <w:top w:val="single" w:color="auto" w:sz="4" w:space="0"/>
              <w:left w:val="single" w:color="auto" w:sz="4" w:space="0"/>
              <w:bottom w:val="single" w:color="auto" w:sz="4" w:space="0"/>
              <w:right w:val="single" w:color="auto" w:sz="4" w:space="0"/>
            </w:tcBorders>
            <w:vAlign w:val="center"/>
          </w:tcPr>
          <w:p w14:paraId="44749E58">
            <w:pPr>
              <w:widowControl/>
              <w:adjustRightInd w:val="0"/>
              <w:snapToGrid w:val="0"/>
              <w:spacing w:line="300" w:lineRule="exact"/>
              <w:jc w:val="center"/>
              <w:rPr>
                <w:rFonts w:hint="eastAsia" w:ascii="宋体" w:hAnsi="宋体" w:eastAsia="宋体" w:cs="宋体"/>
                <w:bCs/>
                <w:sz w:val="18"/>
                <w:szCs w:val="18"/>
                <w:lang w:val="de-DE"/>
              </w:rPr>
            </w:pPr>
          </w:p>
        </w:tc>
      </w:tr>
      <w:tr w14:paraId="6735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8" w:type="pct"/>
            <w:tcBorders>
              <w:top w:val="single" w:color="auto" w:sz="4" w:space="0"/>
              <w:left w:val="single" w:color="auto" w:sz="4" w:space="0"/>
              <w:bottom w:val="single" w:color="auto" w:sz="4" w:space="0"/>
              <w:right w:val="single" w:color="auto" w:sz="4" w:space="0"/>
            </w:tcBorders>
            <w:vAlign w:val="center"/>
          </w:tcPr>
          <w:p w14:paraId="097DFD46">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8</w:t>
            </w:r>
          </w:p>
        </w:tc>
        <w:tc>
          <w:tcPr>
            <w:tcW w:w="1480" w:type="pct"/>
            <w:tcBorders>
              <w:top w:val="single" w:color="auto" w:sz="4" w:space="0"/>
              <w:left w:val="single" w:color="auto" w:sz="4" w:space="0"/>
              <w:bottom w:val="single" w:color="auto" w:sz="4" w:space="0"/>
              <w:right w:val="single" w:color="auto" w:sz="4" w:space="0"/>
            </w:tcBorders>
            <w:vAlign w:val="center"/>
          </w:tcPr>
          <w:p w14:paraId="416A1DCD">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频率</w:t>
            </w:r>
          </w:p>
        </w:tc>
        <w:tc>
          <w:tcPr>
            <w:tcW w:w="1480" w:type="pct"/>
            <w:tcBorders>
              <w:top w:val="single" w:color="auto" w:sz="4" w:space="0"/>
              <w:left w:val="single" w:color="auto" w:sz="4" w:space="0"/>
              <w:bottom w:val="single" w:color="auto" w:sz="4" w:space="0"/>
              <w:right w:val="single" w:color="auto" w:sz="4" w:space="0"/>
            </w:tcBorders>
            <w:vAlign w:val="center"/>
          </w:tcPr>
          <w:p w14:paraId="1F06243B">
            <w:pPr>
              <w:widowControl/>
              <w:adjustRightInd w:val="0"/>
              <w:snapToGrid w:val="0"/>
              <w:spacing w:line="300" w:lineRule="exact"/>
              <w:jc w:val="center"/>
              <w:rPr>
                <w:rFonts w:hint="eastAsia" w:ascii="宋体" w:hAnsi="宋体" w:eastAsia="宋体" w:cs="宋体"/>
                <w:bCs/>
                <w:sz w:val="18"/>
                <w:szCs w:val="18"/>
              </w:rPr>
            </w:pPr>
            <w:r>
              <w:rPr>
                <w:rFonts w:hint="eastAsia" w:ascii="宋体" w:hAnsi="宋体" w:eastAsia="宋体" w:cs="宋体"/>
                <w:bCs/>
                <w:sz w:val="18"/>
                <w:szCs w:val="18"/>
              </w:rPr>
              <w:t>50Hz</w:t>
            </w:r>
          </w:p>
        </w:tc>
        <w:tc>
          <w:tcPr>
            <w:tcW w:w="1110" w:type="pct"/>
            <w:tcBorders>
              <w:top w:val="single" w:color="auto" w:sz="4" w:space="0"/>
              <w:left w:val="single" w:color="auto" w:sz="4" w:space="0"/>
              <w:bottom w:val="single" w:color="auto" w:sz="4" w:space="0"/>
              <w:right w:val="single" w:color="auto" w:sz="4" w:space="0"/>
            </w:tcBorders>
            <w:vAlign w:val="center"/>
          </w:tcPr>
          <w:p w14:paraId="49A8AE58">
            <w:pPr>
              <w:widowControl/>
              <w:adjustRightInd w:val="0"/>
              <w:snapToGrid w:val="0"/>
              <w:spacing w:line="300" w:lineRule="exact"/>
              <w:jc w:val="center"/>
              <w:rPr>
                <w:rFonts w:hint="eastAsia" w:ascii="宋体" w:hAnsi="宋体" w:eastAsia="宋体" w:cs="宋体"/>
                <w:bCs/>
                <w:sz w:val="18"/>
                <w:szCs w:val="18"/>
                <w:lang w:val="de-DE"/>
              </w:rPr>
            </w:pPr>
          </w:p>
        </w:tc>
      </w:tr>
    </w:tbl>
    <w:p w14:paraId="020B8C4C">
      <w:pPr>
        <w:widowControl/>
        <w:adjustRightInd w:val="0"/>
        <w:snapToGrid w:val="0"/>
        <w:spacing w:line="300" w:lineRule="exact"/>
        <w:ind w:firstLine="360" w:firstLineChars="200"/>
        <w:rPr>
          <w:rFonts w:hint="eastAsia" w:ascii="宋体" w:hAnsi="宋体" w:eastAsia="宋体" w:cs="宋体"/>
          <w:bCs/>
          <w:sz w:val="18"/>
          <w:szCs w:val="18"/>
        </w:rPr>
      </w:pPr>
    </w:p>
    <w:p w14:paraId="1011E7ED">
      <w:pPr>
        <w:spacing w:line="500" w:lineRule="exact"/>
        <w:rPr>
          <w:rFonts w:hint="eastAsia" w:ascii="宋体" w:hAnsi="宋体" w:eastAsia="宋体" w:cs="宋体"/>
          <w:bCs/>
          <w:sz w:val="24"/>
        </w:rPr>
      </w:pPr>
      <w:r>
        <w:rPr>
          <w:rFonts w:hint="eastAsia" w:ascii="宋体" w:hAnsi="宋体" w:eastAsia="宋体" w:cs="宋体"/>
          <w:bCs/>
          <w:sz w:val="24"/>
        </w:rPr>
        <w:t>3.2.3各关键零部件技术指标</w:t>
      </w:r>
    </w:p>
    <w:p w14:paraId="19FB17F0">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3.2.3.1 秤台：具体参数如下：</w:t>
      </w:r>
    </w:p>
    <w:tbl>
      <w:tblPr>
        <w:tblStyle w:val="35"/>
        <w:tblW w:w="45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2078"/>
        <w:gridCol w:w="4565"/>
        <w:gridCol w:w="696"/>
      </w:tblGrid>
      <w:tr w14:paraId="75521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50D21C71">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序号</w:t>
            </w:r>
          </w:p>
        </w:tc>
        <w:tc>
          <w:tcPr>
            <w:tcW w:w="1231" w:type="pct"/>
            <w:tcBorders>
              <w:top w:val="single" w:color="auto" w:sz="4" w:space="0"/>
              <w:left w:val="single" w:color="auto" w:sz="4" w:space="0"/>
              <w:bottom w:val="single" w:color="auto" w:sz="4" w:space="0"/>
              <w:right w:val="single" w:color="auto" w:sz="4" w:space="0"/>
            </w:tcBorders>
            <w:vAlign w:val="center"/>
          </w:tcPr>
          <w:p w14:paraId="2799F51E">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指标名称</w:t>
            </w:r>
          </w:p>
        </w:tc>
        <w:tc>
          <w:tcPr>
            <w:tcW w:w="2705" w:type="pct"/>
            <w:tcBorders>
              <w:top w:val="single" w:color="auto" w:sz="4" w:space="0"/>
              <w:left w:val="single" w:color="auto" w:sz="4" w:space="0"/>
              <w:bottom w:val="single" w:color="auto" w:sz="4" w:space="0"/>
              <w:right w:val="single" w:color="auto" w:sz="4" w:space="0"/>
            </w:tcBorders>
            <w:vAlign w:val="center"/>
          </w:tcPr>
          <w:p w14:paraId="585D401C">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指标要求</w:t>
            </w:r>
          </w:p>
        </w:tc>
        <w:tc>
          <w:tcPr>
            <w:tcW w:w="412" w:type="pct"/>
            <w:tcBorders>
              <w:top w:val="single" w:color="auto" w:sz="4" w:space="0"/>
              <w:left w:val="single" w:color="auto" w:sz="4" w:space="0"/>
              <w:bottom w:val="single" w:color="auto" w:sz="4" w:space="0"/>
              <w:right w:val="single" w:color="auto" w:sz="4" w:space="0"/>
            </w:tcBorders>
            <w:vAlign w:val="center"/>
          </w:tcPr>
          <w:p w14:paraId="0C716591">
            <w:pPr>
              <w:widowControl/>
              <w:adjustRightInd w:val="0"/>
              <w:snapToGrid w:val="0"/>
              <w:spacing w:line="200" w:lineRule="exact"/>
              <w:jc w:val="center"/>
              <w:rPr>
                <w:rFonts w:hint="eastAsia" w:ascii="宋体" w:hAnsi="宋体" w:eastAsia="宋体" w:cs="宋体"/>
                <w:bCs/>
                <w:sz w:val="24"/>
              </w:rPr>
            </w:pPr>
            <w:r>
              <w:rPr>
                <w:rFonts w:hint="eastAsia" w:ascii="宋体" w:hAnsi="宋体" w:eastAsia="宋体" w:cs="宋体"/>
                <w:bCs/>
                <w:sz w:val="24"/>
              </w:rPr>
              <w:t>备注</w:t>
            </w:r>
          </w:p>
        </w:tc>
      </w:tr>
      <w:tr w14:paraId="4B71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68EF7EF1">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1231" w:type="pct"/>
            <w:tcBorders>
              <w:top w:val="single" w:color="auto" w:sz="4" w:space="0"/>
              <w:left w:val="single" w:color="auto" w:sz="4" w:space="0"/>
              <w:bottom w:val="single" w:color="auto" w:sz="4" w:space="0"/>
              <w:right w:val="single" w:color="auto" w:sz="4" w:space="0"/>
            </w:tcBorders>
            <w:vAlign w:val="center"/>
          </w:tcPr>
          <w:p w14:paraId="46E5E4F4">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额定称量范围</w:t>
            </w:r>
          </w:p>
        </w:tc>
        <w:tc>
          <w:tcPr>
            <w:tcW w:w="2705" w:type="pct"/>
            <w:tcBorders>
              <w:top w:val="single" w:color="auto" w:sz="4" w:space="0"/>
              <w:left w:val="single" w:color="auto" w:sz="4" w:space="0"/>
              <w:bottom w:val="single" w:color="auto" w:sz="4" w:space="0"/>
              <w:right w:val="single" w:color="auto" w:sz="4" w:space="0"/>
            </w:tcBorders>
            <w:vAlign w:val="center"/>
          </w:tcPr>
          <w:p w14:paraId="7C8D32B6">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100t</w:t>
            </w:r>
          </w:p>
        </w:tc>
        <w:tc>
          <w:tcPr>
            <w:tcW w:w="412" w:type="pct"/>
            <w:tcBorders>
              <w:top w:val="single" w:color="auto" w:sz="4" w:space="0"/>
              <w:left w:val="single" w:color="auto" w:sz="4" w:space="0"/>
              <w:bottom w:val="single" w:color="auto" w:sz="4" w:space="0"/>
              <w:right w:val="single" w:color="auto" w:sz="4" w:space="0"/>
            </w:tcBorders>
            <w:vAlign w:val="center"/>
          </w:tcPr>
          <w:p w14:paraId="4FDF7AA9">
            <w:pPr>
              <w:widowControl/>
              <w:adjustRightInd w:val="0"/>
              <w:snapToGrid w:val="0"/>
              <w:spacing w:line="200" w:lineRule="exact"/>
              <w:jc w:val="center"/>
              <w:rPr>
                <w:rFonts w:hint="eastAsia" w:ascii="宋体" w:hAnsi="宋体" w:eastAsia="宋体" w:cs="宋体"/>
                <w:bCs/>
                <w:sz w:val="24"/>
              </w:rPr>
            </w:pPr>
          </w:p>
        </w:tc>
      </w:tr>
      <w:tr w14:paraId="5817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5B563C0A">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2</w:t>
            </w:r>
          </w:p>
        </w:tc>
        <w:tc>
          <w:tcPr>
            <w:tcW w:w="1231" w:type="pct"/>
            <w:tcBorders>
              <w:top w:val="single" w:color="auto" w:sz="4" w:space="0"/>
              <w:left w:val="single" w:color="auto" w:sz="4" w:space="0"/>
              <w:bottom w:val="single" w:color="auto" w:sz="4" w:space="0"/>
              <w:right w:val="single" w:color="auto" w:sz="4" w:space="0"/>
            </w:tcBorders>
            <w:vAlign w:val="center"/>
          </w:tcPr>
          <w:p w14:paraId="164A2314">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面板厚度</w:t>
            </w:r>
          </w:p>
        </w:tc>
        <w:tc>
          <w:tcPr>
            <w:tcW w:w="2705" w:type="pct"/>
            <w:tcBorders>
              <w:top w:val="single" w:color="auto" w:sz="4" w:space="0"/>
              <w:left w:val="single" w:color="auto" w:sz="4" w:space="0"/>
              <w:bottom w:val="single" w:color="auto" w:sz="4" w:space="0"/>
              <w:right w:val="single" w:color="auto" w:sz="4" w:space="0"/>
            </w:tcBorders>
            <w:vAlign w:val="center"/>
          </w:tcPr>
          <w:p w14:paraId="353068C5">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10mm</w:t>
            </w:r>
          </w:p>
        </w:tc>
        <w:tc>
          <w:tcPr>
            <w:tcW w:w="412" w:type="pct"/>
            <w:tcBorders>
              <w:top w:val="single" w:color="auto" w:sz="4" w:space="0"/>
              <w:left w:val="single" w:color="auto" w:sz="4" w:space="0"/>
              <w:bottom w:val="single" w:color="auto" w:sz="4" w:space="0"/>
              <w:right w:val="single" w:color="auto" w:sz="4" w:space="0"/>
            </w:tcBorders>
            <w:vAlign w:val="center"/>
          </w:tcPr>
          <w:p w14:paraId="1D301161">
            <w:pPr>
              <w:widowControl/>
              <w:adjustRightInd w:val="0"/>
              <w:snapToGrid w:val="0"/>
              <w:spacing w:line="200" w:lineRule="exact"/>
              <w:jc w:val="center"/>
              <w:rPr>
                <w:rFonts w:hint="eastAsia" w:ascii="宋体" w:hAnsi="宋体" w:eastAsia="宋体" w:cs="宋体"/>
                <w:bCs/>
                <w:sz w:val="24"/>
              </w:rPr>
            </w:pPr>
          </w:p>
        </w:tc>
      </w:tr>
      <w:tr w14:paraId="24BE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1775A9AE">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1231" w:type="pct"/>
            <w:tcBorders>
              <w:top w:val="single" w:color="auto" w:sz="4" w:space="0"/>
              <w:left w:val="single" w:color="auto" w:sz="4" w:space="0"/>
              <w:bottom w:val="single" w:color="auto" w:sz="4" w:space="0"/>
              <w:right w:val="single" w:color="auto" w:sz="4" w:space="0"/>
            </w:tcBorders>
            <w:vAlign w:val="center"/>
          </w:tcPr>
          <w:p w14:paraId="17FB2505">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钢材材质</w:t>
            </w:r>
          </w:p>
        </w:tc>
        <w:tc>
          <w:tcPr>
            <w:tcW w:w="2705" w:type="pct"/>
            <w:tcBorders>
              <w:top w:val="single" w:color="auto" w:sz="4" w:space="0"/>
              <w:left w:val="single" w:color="auto" w:sz="4" w:space="0"/>
              <w:bottom w:val="single" w:color="auto" w:sz="4" w:space="0"/>
              <w:right w:val="single" w:color="auto" w:sz="4" w:space="0"/>
            </w:tcBorders>
            <w:vAlign w:val="center"/>
          </w:tcPr>
          <w:p w14:paraId="18C7FC1F">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Q235</w:t>
            </w:r>
          </w:p>
        </w:tc>
        <w:tc>
          <w:tcPr>
            <w:tcW w:w="412" w:type="pct"/>
            <w:tcBorders>
              <w:top w:val="single" w:color="auto" w:sz="4" w:space="0"/>
              <w:left w:val="single" w:color="auto" w:sz="4" w:space="0"/>
              <w:bottom w:val="single" w:color="auto" w:sz="4" w:space="0"/>
              <w:right w:val="single" w:color="auto" w:sz="4" w:space="0"/>
            </w:tcBorders>
            <w:vAlign w:val="center"/>
          </w:tcPr>
          <w:p w14:paraId="4B1FF9CB">
            <w:pPr>
              <w:widowControl/>
              <w:adjustRightInd w:val="0"/>
              <w:snapToGrid w:val="0"/>
              <w:spacing w:line="200" w:lineRule="exact"/>
              <w:jc w:val="center"/>
              <w:rPr>
                <w:rFonts w:hint="eastAsia" w:ascii="宋体" w:hAnsi="宋体" w:eastAsia="宋体" w:cs="宋体"/>
                <w:bCs/>
                <w:sz w:val="24"/>
              </w:rPr>
            </w:pPr>
          </w:p>
        </w:tc>
      </w:tr>
      <w:tr w14:paraId="77C1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430BE98B">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1231" w:type="pct"/>
            <w:tcBorders>
              <w:top w:val="single" w:color="auto" w:sz="4" w:space="0"/>
              <w:left w:val="single" w:color="auto" w:sz="4" w:space="0"/>
              <w:bottom w:val="single" w:color="auto" w:sz="4" w:space="0"/>
              <w:right w:val="single" w:color="auto" w:sz="4" w:space="0"/>
            </w:tcBorders>
            <w:vAlign w:val="center"/>
          </w:tcPr>
          <w:p w14:paraId="3B0B6445">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主梁高度</w:t>
            </w:r>
          </w:p>
        </w:tc>
        <w:tc>
          <w:tcPr>
            <w:tcW w:w="2705" w:type="pct"/>
            <w:tcBorders>
              <w:top w:val="single" w:color="auto" w:sz="4" w:space="0"/>
              <w:left w:val="single" w:color="auto" w:sz="4" w:space="0"/>
              <w:bottom w:val="single" w:color="auto" w:sz="4" w:space="0"/>
              <w:right w:val="single" w:color="auto" w:sz="4" w:space="0"/>
            </w:tcBorders>
            <w:vAlign w:val="center"/>
          </w:tcPr>
          <w:p w14:paraId="3F127EB0">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高度3</w:t>
            </w:r>
            <w:r>
              <w:rPr>
                <w:rFonts w:hint="eastAsia" w:ascii="宋体" w:hAnsi="宋体" w:eastAsia="宋体" w:cs="宋体"/>
                <w:bCs/>
                <w:sz w:val="18"/>
                <w:szCs w:val="18"/>
                <w:lang w:val="en-US" w:eastAsia="zh-CN"/>
              </w:rPr>
              <w:t>5</w:t>
            </w:r>
            <w:r>
              <w:rPr>
                <w:rFonts w:hint="eastAsia" w:ascii="宋体" w:hAnsi="宋体" w:eastAsia="宋体" w:cs="宋体"/>
                <w:bCs/>
                <w:sz w:val="18"/>
                <w:szCs w:val="18"/>
              </w:rPr>
              <w:t>0mm</w:t>
            </w:r>
            <w:r>
              <w:rPr>
                <w:rFonts w:hint="eastAsia" w:ascii="宋体" w:hAnsi="宋体" w:eastAsia="宋体" w:cs="宋体"/>
                <w:bCs/>
                <w:sz w:val="18"/>
                <w:szCs w:val="18"/>
                <w:lang w:val="en-US" w:eastAsia="zh-CN"/>
              </w:rPr>
              <w:t xml:space="preserve"> </w:t>
            </w:r>
            <w:r>
              <w:rPr>
                <w:rFonts w:hint="eastAsia" w:ascii="宋体" w:hAnsi="宋体" w:eastAsia="宋体" w:cs="宋体"/>
                <w:bCs/>
                <w:sz w:val="18"/>
                <w:szCs w:val="18"/>
              </w:rPr>
              <w:t>U型钢制作</w:t>
            </w:r>
          </w:p>
        </w:tc>
        <w:tc>
          <w:tcPr>
            <w:tcW w:w="412" w:type="pct"/>
            <w:tcBorders>
              <w:top w:val="single" w:color="auto" w:sz="4" w:space="0"/>
              <w:left w:val="single" w:color="auto" w:sz="4" w:space="0"/>
              <w:bottom w:val="single" w:color="auto" w:sz="4" w:space="0"/>
              <w:right w:val="single" w:color="auto" w:sz="4" w:space="0"/>
            </w:tcBorders>
            <w:vAlign w:val="center"/>
          </w:tcPr>
          <w:p w14:paraId="4392F4B0">
            <w:pPr>
              <w:widowControl/>
              <w:adjustRightInd w:val="0"/>
              <w:snapToGrid w:val="0"/>
              <w:spacing w:line="200" w:lineRule="exact"/>
              <w:jc w:val="center"/>
              <w:rPr>
                <w:rFonts w:hint="eastAsia" w:ascii="宋体" w:hAnsi="宋体" w:eastAsia="宋体" w:cs="宋体"/>
                <w:bCs/>
                <w:sz w:val="24"/>
              </w:rPr>
            </w:pPr>
          </w:p>
        </w:tc>
      </w:tr>
      <w:tr w14:paraId="06AF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62D9134D">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5</w:t>
            </w:r>
          </w:p>
        </w:tc>
        <w:tc>
          <w:tcPr>
            <w:tcW w:w="1231" w:type="pct"/>
            <w:tcBorders>
              <w:top w:val="single" w:color="auto" w:sz="4" w:space="0"/>
              <w:left w:val="single" w:color="auto" w:sz="4" w:space="0"/>
              <w:bottom w:val="single" w:color="auto" w:sz="4" w:space="0"/>
              <w:right w:val="single" w:color="auto" w:sz="4" w:space="0"/>
            </w:tcBorders>
            <w:vAlign w:val="center"/>
          </w:tcPr>
          <w:p w14:paraId="3CC6548E">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轴载设计</w:t>
            </w:r>
          </w:p>
        </w:tc>
        <w:tc>
          <w:tcPr>
            <w:tcW w:w="2705" w:type="pct"/>
            <w:tcBorders>
              <w:top w:val="single" w:color="auto" w:sz="4" w:space="0"/>
              <w:left w:val="single" w:color="auto" w:sz="4" w:space="0"/>
              <w:bottom w:val="single" w:color="auto" w:sz="4" w:space="0"/>
              <w:right w:val="single" w:color="auto" w:sz="4" w:space="0"/>
            </w:tcBorders>
            <w:vAlign w:val="center"/>
          </w:tcPr>
          <w:p w14:paraId="1FA68E6D">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40t</w:t>
            </w:r>
          </w:p>
        </w:tc>
        <w:tc>
          <w:tcPr>
            <w:tcW w:w="412" w:type="pct"/>
            <w:tcBorders>
              <w:top w:val="single" w:color="auto" w:sz="4" w:space="0"/>
              <w:left w:val="single" w:color="auto" w:sz="4" w:space="0"/>
              <w:bottom w:val="single" w:color="auto" w:sz="4" w:space="0"/>
              <w:right w:val="single" w:color="auto" w:sz="4" w:space="0"/>
            </w:tcBorders>
            <w:vAlign w:val="center"/>
          </w:tcPr>
          <w:p w14:paraId="53B29FF9">
            <w:pPr>
              <w:widowControl/>
              <w:adjustRightInd w:val="0"/>
              <w:snapToGrid w:val="0"/>
              <w:spacing w:line="200" w:lineRule="exact"/>
              <w:jc w:val="center"/>
              <w:rPr>
                <w:rFonts w:hint="eastAsia" w:ascii="宋体" w:hAnsi="宋体" w:eastAsia="宋体" w:cs="宋体"/>
                <w:bCs/>
                <w:sz w:val="24"/>
              </w:rPr>
            </w:pPr>
          </w:p>
        </w:tc>
      </w:tr>
      <w:tr w14:paraId="075C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25FE707B">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1231" w:type="pct"/>
            <w:tcBorders>
              <w:top w:val="single" w:color="auto" w:sz="4" w:space="0"/>
              <w:left w:val="single" w:color="auto" w:sz="4" w:space="0"/>
              <w:bottom w:val="single" w:color="auto" w:sz="4" w:space="0"/>
              <w:right w:val="single" w:color="auto" w:sz="4" w:space="0"/>
            </w:tcBorders>
            <w:vAlign w:val="center"/>
          </w:tcPr>
          <w:p w14:paraId="2D2DF168">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安全过载</w:t>
            </w:r>
          </w:p>
        </w:tc>
        <w:tc>
          <w:tcPr>
            <w:tcW w:w="2705" w:type="pct"/>
            <w:tcBorders>
              <w:top w:val="single" w:color="auto" w:sz="4" w:space="0"/>
              <w:left w:val="single" w:color="auto" w:sz="4" w:space="0"/>
              <w:bottom w:val="single" w:color="auto" w:sz="4" w:space="0"/>
              <w:right w:val="single" w:color="auto" w:sz="4" w:space="0"/>
            </w:tcBorders>
            <w:vAlign w:val="center"/>
          </w:tcPr>
          <w:p w14:paraId="5692EAA3">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lang w:val="de-DE"/>
              </w:rPr>
              <w:t>≧1</w:t>
            </w:r>
            <w:r>
              <w:rPr>
                <w:rFonts w:hint="eastAsia" w:ascii="宋体" w:hAnsi="宋体" w:eastAsia="宋体" w:cs="宋体"/>
                <w:bCs/>
                <w:sz w:val="18"/>
                <w:szCs w:val="18"/>
                <w:lang w:val="en-US" w:eastAsia="zh-CN"/>
              </w:rPr>
              <w:t>25</w:t>
            </w:r>
            <w:r>
              <w:rPr>
                <w:rFonts w:hint="eastAsia" w:ascii="宋体" w:hAnsi="宋体" w:eastAsia="宋体" w:cs="宋体"/>
                <w:bCs/>
                <w:sz w:val="18"/>
                <w:szCs w:val="18"/>
                <w:lang w:val="de-DE"/>
              </w:rPr>
              <w:t>%</w:t>
            </w:r>
          </w:p>
        </w:tc>
        <w:tc>
          <w:tcPr>
            <w:tcW w:w="412" w:type="pct"/>
            <w:tcBorders>
              <w:top w:val="single" w:color="auto" w:sz="4" w:space="0"/>
              <w:left w:val="single" w:color="auto" w:sz="4" w:space="0"/>
              <w:bottom w:val="single" w:color="auto" w:sz="4" w:space="0"/>
              <w:right w:val="single" w:color="auto" w:sz="4" w:space="0"/>
            </w:tcBorders>
            <w:vAlign w:val="center"/>
          </w:tcPr>
          <w:p w14:paraId="5D405078">
            <w:pPr>
              <w:widowControl/>
              <w:adjustRightInd w:val="0"/>
              <w:snapToGrid w:val="0"/>
              <w:spacing w:line="200" w:lineRule="exact"/>
              <w:jc w:val="center"/>
              <w:rPr>
                <w:rFonts w:hint="eastAsia" w:ascii="宋体" w:hAnsi="宋体" w:eastAsia="宋体" w:cs="宋体"/>
                <w:bCs/>
                <w:sz w:val="24"/>
                <w:lang w:val="de-DE"/>
              </w:rPr>
            </w:pPr>
          </w:p>
        </w:tc>
      </w:tr>
      <w:tr w14:paraId="2608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6FEA320A">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7</w:t>
            </w:r>
          </w:p>
        </w:tc>
        <w:tc>
          <w:tcPr>
            <w:tcW w:w="1231" w:type="pct"/>
            <w:tcBorders>
              <w:top w:val="single" w:color="auto" w:sz="4" w:space="0"/>
              <w:left w:val="single" w:color="auto" w:sz="4" w:space="0"/>
              <w:bottom w:val="single" w:color="auto" w:sz="4" w:space="0"/>
              <w:right w:val="single" w:color="auto" w:sz="4" w:space="0"/>
            </w:tcBorders>
            <w:vAlign w:val="center"/>
          </w:tcPr>
          <w:p w14:paraId="068E9CF4">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极限过载</w:t>
            </w:r>
          </w:p>
        </w:tc>
        <w:tc>
          <w:tcPr>
            <w:tcW w:w="2705" w:type="pct"/>
            <w:tcBorders>
              <w:top w:val="single" w:color="auto" w:sz="4" w:space="0"/>
              <w:left w:val="single" w:color="auto" w:sz="4" w:space="0"/>
              <w:bottom w:val="single" w:color="auto" w:sz="4" w:space="0"/>
              <w:right w:val="single" w:color="auto" w:sz="4" w:space="0"/>
            </w:tcBorders>
            <w:vAlign w:val="center"/>
          </w:tcPr>
          <w:p w14:paraId="2827DEBC">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lang w:val="de-DE"/>
              </w:rPr>
              <w:t>≧</w:t>
            </w:r>
            <w:r>
              <w:rPr>
                <w:rFonts w:hint="eastAsia" w:ascii="宋体" w:hAnsi="宋体" w:eastAsia="宋体" w:cs="宋体"/>
                <w:bCs/>
                <w:sz w:val="18"/>
                <w:szCs w:val="18"/>
                <w:lang w:val="en-US" w:eastAsia="zh-CN"/>
              </w:rPr>
              <w:t>15</w:t>
            </w:r>
            <w:r>
              <w:rPr>
                <w:rFonts w:hint="eastAsia" w:ascii="宋体" w:hAnsi="宋体" w:eastAsia="宋体" w:cs="宋体"/>
                <w:bCs/>
                <w:sz w:val="18"/>
                <w:szCs w:val="18"/>
                <w:lang w:val="de-DE"/>
              </w:rPr>
              <w:t>0%</w:t>
            </w:r>
          </w:p>
        </w:tc>
        <w:tc>
          <w:tcPr>
            <w:tcW w:w="412" w:type="pct"/>
            <w:tcBorders>
              <w:top w:val="single" w:color="auto" w:sz="4" w:space="0"/>
              <w:left w:val="single" w:color="auto" w:sz="4" w:space="0"/>
              <w:bottom w:val="single" w:color="auto" w:sz="4" w:space="0"/>
              <w:right w:val="single" w:color="auto" w:sz="4" w:space="0"/>
            </w:tcBorders>
            <w:vAlign w:val="center"/>
          </w:tcPr>
          <w:p w14:paraId="1C989E94">
            <w:pPr>
              <w:widowControl/>
              <w:adjustRightInd w:val="0"/>
              <w:snapToGrid w:val="0"/>
              <w:spacing w:line="200" w:lineRule="exact"/>
              <w:jc w:val="center"/>
              <w:rPr>
                <w:rFonts w:hint="eastAsia" w:ascii="宋体" w:hAnsi="宋体" w:eastAsia="宋体" w:cs="宋体"/>
                <w:bCs/>
                <w:sz w:val="24"/>
                <w:lang w:val="de-DE"/>
              </w:rPr>
            </w:pPr>
          </w:p>
        </w:tc>
      </w:tr>
      <w:tr w14:paraId="4F1B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261DAD25">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8</w:t>
            </w:r>
          </w:p>
        </w:tc>
        <w:tc>
          <w:tcPr>
            <w:tcW w:w="1231" w:type="pct"/>
            <w:tcBorders>
              <w:top w:val="single" w:color="auto" w:sz="4" w:space="0"/>
              <w:left w:val="single" w:color="auto" w:sz="4" w:space="0"/>
              <w:bottom w:val="single" w:color="auto" w:sz="4" w:space="0"/>
              <w:right w:val="single" w:color="auto" w:sz="4" w:space="0"/>
            </w:tcBorders>
            <w:vAlign w:val="center"/>
          </w:tcPr>
          <w:p w14:paraId="5B883B95">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挠度比</w:t>
            </w:r>
          </w:p>
        </w:tc>
        <w:tc>
          <w:tcPr>
            <w:tcW w:w="2705" w:type="pct"/>
            <w:tcBorders>
              <w:top w:val="single" w:color="auto" w:sz="4" w:space="0"/>
              <w:left w:val="single" w:color="auto" w:sz="4" w:space="0"/>
              <w:bottom w:val="single" w:color="auto" w:sz="4" w:space="0"/>
              <w:right w:val="single" w:color="auto" w:sz="4" w:space="0"/>
            </w:tcBorders>
            <w:vAlign w:val="center"/>
          </w:tcPr>
          <w:p w14:paraId="1462A67D">
            <w:pPr>
              <w:widowControl/>
              <w:adjustRightInd w:val="0"/>
              <w:snapToGrid w:val="0"/>
              <w:spacing w:line="200" w:lineRule="exact"/>
              <w:jc w:val="center"/>
              <w:rPr>
                <w:rFonts w:hint="eastAsia" w:ascii="宋体" w:hAnsi="宋体" w:eastAsia="宋体" w:cs="宋体"/>
                <w:bCs/>
                <w:sz w:val="18"/>
                <w:szCs w:val="18"/>
                <w:lang w:val="de-DE"/>
              </w:rPr>
            </w:pPr>
            <w:r>
              <w:rPr>
                <w:rFonts w:hint="eastAsia" w:ascii="宋体" w:hAnsi="宋体" w:eastAsia="宋体" w:cs="宋体"/>
                <w:bCs/>
                <w:sz w:val="18"/>
                <w:szCs w:val="18"/>
              </w:rPr>
              <w:t>0.8‰</w:t>
            </w:r>
          </w:p>
        </w:tc>
        <w:tc>
          <w:tcPr>
            <w:tcW w:w="412" w:type="pct"/>
            <w:tcBorders>
              <w:top w:val="single" w:color="auto" w:sz="4" w:space="0"/>
              <w:left w:val="single" w:color="auto" w:sz="4" w:space="0"/>
              <w:bottom w:val="single" w:color="auto" w:sz="4" w:space="0"/>
              <w:right w:val="single" w:color="auto" w:sz="4" w:space="0"/>
            </w:tcBorders>
            <w:vAlign w:val="center"/>
          </w:tcPr>
          <w:p w14:paraId="2799B758">
            <w:pPr>
              <w:widowControl/>
              <w:adjustRightInd w:val="0"/>
              <w:snapToGrid w:val="0"/>
              <w:spacing w:line="200" w:lineRule="exact"/>
              <w:jc w:val="center"/>
              <w:rPr>
                <w:rFonts w:hint="eastAsia" w:ascii="宋体" w:hAnsi="宋体" w:eastAsia="宋体" w:cs="宋体"/>
                <w:bCs/>
                <w:sz w:val="24"/>
              </w:rPr>
            </w:pPr>
          </w:p>
        </w:tc>
      </w:tr>
      <w:tr w14:paraId="653E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69FFD631">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9</w:t>
            </w:r>
          </w:p>
        </w:tc>
        <w:tc>
          <w:tcPr>
            <w:tcW w:w="1231" w:type="pct"/>
            <w:tcBorders>
              <w:top w:val="single" w:color="auto" w:sz="4" w:space="0"/>
              <w:left w:val="single" w:color="auto" w:sz="4" w:space="0"/>
              <w:bottom w:val="single" w:color="auto" w:sz="4" w:space="0"/>
              <w:right w:val="single" w:color="auto" w:sz="4" w:space="0"/>
            </w:tcBorders>
            <w:vAlign w:val="center"/>
          </w:tcPr>
          <w:p w14:paraId="16C91508">
            <w:pPr>
              <w:widowControl/>
              <w:adjustRightInd w:val="0"/>
              <w:snapToGrid w:val="0"/>
              <w:spacing w:line="200" w:lineRule="exact"/>
              <w:jc w:val="center"/>
              <w:rPr>
                <w:rFonts w:hint="eastAsia" w:ascii="宋体" w:hAnsi="宋体" w:eastAsia="宋体" w:cs="宋体"/>
                <w:bCs/>
                <w:sz w:val="18"/>
                <w:szCs w:val="18"/>
              </w:rPr>
            </w:pPr>
            <w:r>
              <w:rPr>
                <w:rFonts w:hint="eastAsia" w:ascii="宋体" w:hAnsi="宋体" w:eastAsia="宋体" w:cs="宋体"/>
                <w:bCs/>
                <w:sz w:val="18"/>
                <w:szCs w:val="18"/>
              </w:rPr>
              <w:t>预拱度</w:t>
            </w:r>
          </w:p>
        </w:tc>
        <w:tc>
          <w:tcPr>
            <w:tcW w:w="2705" w:type="pct"/>
            <w:tcBorders>
              <w:top w:val="single" w:color="auto" w:sz="4" w:space="0"/>
              <w:left w:val="single" w:color="auto" w:sz="4" w:space="0"/>
              <w:bottom w:val="single" w:color="auto" w:sz="4" w:space="0"/>
              <w:right w:val="single" w:color="auto" w:sz="4" w:space="0"/>
            </w:tcBorders>
            <w:vAlign w:val="center"/>
          </w:tcPr>
          <w:p w14:paraId="3B3897B8">
            <w:pPr>
              <w:widowControl/>
              <w:adjustRightInd w:val="0"/>
              <w:snapToGrid w:val="0"/>
              <w:spacing w:line="200" w:lineRule="exact"/>
              <w:jc w:val="center"/>
              <w:rPr>
                <w:rFonts w:hint="eastAsia" w:ascii="宋体" w:hAnsi="宋体" w:eastAsia="宋体" w:cs="宋体"/>
                <w:bCs/>
                <w:sz w:val="18"/>
                <w:szCs w:val="18"/>
                <w:lang w:val="de-DE"/>
              </w:rPr>
            </w:pPr>
            <w:r>
              <w:rPr>
                <w:rFonts w:hint="eastAsia" w:ascii="宋体" w:hAnsi="宋体" w:eastAsia="宋体" w:cs="宋体"/>
                <w:bCs/>
                <w:sz w:val="18"/>
                <w:szCs w:val="18"/>
              </w:rPr>
              <w:t>3‰</w:t>
            </w:r>
          </w:p>
        </w:tc>
        <w:tc>
          <w:tcPr>
            <w:tcW w:w="412" w:type="pct"/>
            <w:tcBorders>
              <w:top w:val="single" w:color="auto" w:sz="4" w:space="0"/>
              <w:left w:val="single" w:color="auto" w:sz="4" w:space="0"/>
              <w:bottom w:val="single" w:color="auto" w:sz="4" w:space="0"/>
              <w:right w:val="single" w:color="auto" w:sz="4" w:space="0"/>
            </w:tcBorders>
            <w:vAlign w:val="center"/>
          </w:tcPr>
          <w:p w14:paraId="05213016">
            <w:pPr>
              <w:widowControl/>
              <w:adjustRightInd w:val="0"/>
              <w:snapToGrid w:val="0"/>
              <w:spacing w:line="200" w:lineRule="exact"/>
              <w:jc w:val="center"/>
              <w:rPr>
                <w:rFonts w:hint="eastAsia" w:ascii="宋体" w:hAnsi="宋体" w:eastAsia="宋体" w:cs="宋体"/>
                <w:bCs/>
                <w:sz w:val="24"/>
              </w:rPr>
            </w:pPr>
          </w:p>
        </w:tc>
      </w:tr>
      <w:tr w14:paraId="75B3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24CEBCB8">
            <w:pPr>
              <w:widowControl/>
              <w:adjustRightInd w:val="0"/>
              <w:snapToGrid w:val="0"/>
              <w:spacing w:line="200" w:lineRule="exact"/>
              <w:jc w:val="center"/>
              <w:rPr>
                <w:rFonts w:hint="eastAsia" w:ascii="宋体" w:hAnsi="宋体" w:eastAsia="宋体" w:cs="宋体"/>
                <w:bCs/>
                <w:color w:val="000000"/>
                <w:sz w:val="18"/>
                <w:szCs w:val="18"/>
              </w:rPr>
            </w:pPr>
            <w:r>
              <w:rPr>
                <w:rFonts w:hint="eastAsia" w:ascii="宋体" w:hAnsi="宋体" w:eastAsia="宋体" w:cs="宋体"/>
                <w:bCs/>
                <w:color w:val="000000"/>
                <w:sz w:val="18"/>
                <w:szCs w:val="18"/>
              </w:rPr>
              <w:t>10</w:t>
            </w:r>
          </w:p>
        </w:tc>
        <w:tc>
          <w:tcPr>
            <w:tcW w:w="1231" w:type="pct"/>
            <w:tcBorders>
              <w:top w:val="single" w:color="auto" w:sz="4" w:space="0"/>
              <w:left w:val="single" w:color="auto" w:sz="4" w:space="0"/>
              <w:bottom w:val="single" w:color="auto" w:sz="4" w:space="0"/>
              <w:right w:val="single" w:color="auto" w:sz="4" w:space="0"/>
            </w:tcBorders>
            <w:vAlign w:val="center"/>
          </w:tcPr>
          <w:p w14:paraId="2A2AAA26">
            <w:pPr>
              <w:widowControl/>
              <w:adjustRightInd w:val="0"/>
              <w:snapToGrid w:val="0"/>
              <w:spacing w:line="200" w:lineRule="exact"/>
              <w:jc w:val="center"/>
              <w:rPr>
                <w:rFonts w:hint="eastAsia" w:ascii="宋体" w:hAnsi="宋体" w:eastAsia="宋体" w:cs="宋体"/>
                <w:bCs/>
                <w:color w:val="000000"/>
                <w:sz w:val="18"/>
                <w:szCs w:val="18"/>
              </w:rPr>
            </w:pPr>
            <w:r>
              <w:rPr>
                <w:rFonts w:hint="eastAsia" w:ascii="宋体" w:hAnsi="宋体" w:eastAsia="宋体" w:cs="宋体"/>
                <w:bCs/>
                <w:color w:val="000000"/>
                <w:sz w:val="18"/>
                <w:szCs w:val="18"/>
              </w:rPr>
              <w:t>表面处理</w:t>
            </w:r>
          </w:p>
        </w:tc>
        <w:tc>
          <w:tcPr>
            <w:tcW w:w="2705" w:type="pct"/>
            <w:tcBorders>
              <w:top w:val="single" w:color="auto" w:sz="4" w:space="0"/>
              <w:left w:val="single" w:color="auto" w:sz="4" w:space="0"/>
              <w:bottom w:val="single" w:color="auto" w:sz="4" w:space="0"/>
              <w:right w:val="single" w:color="auto" w:sz="4" w:space="0"/>
            </w:tcBorders>
            <w:vAlign w:val="center"/>
          </w:tcPr>
          <w:p w14:paraId="41CE3C56">
            <w:pPr>
              <w:widowControl/>
              <w:adjustRightInd w:val="0"/>
              <w:snapToGrid w:val="0"/>
              <w:spacing w:line="200" w:lineRule="exact"/>
              <w:jc w:val="center"/>
              <w:rPr>
                <w:rFonts w:hint="eastAsia" w:ascii="宋体" w:hAnsi="宋体" w:eastAsia="宋体" w:cs="宋体"/>
                <w:bCs/>
                <w:color w:val="000000"/>
                <w:sz w:val="18"/>
                <w:szCs w:val="18"/>
              </w:rPr>
            </w:pPr>
            <w:r>
              <w:rPr>
                <w:rFonts w:hint="eastAsia" w:ascii="宋体" w:hAnsi="宋体" w:eastAsia="宋体" w:cs="宋体"/>
                <w:bCs/>
                <w:color w:val="000000"/>
                <w:sz w:val="18"/>
                <w:szCs w:val="18"/>
              </w:rPr>
              <w:t>秤体采用抛丸机整体抛丸防锈技术，达到Sa2.5 级标准。</w:t>
            </w:r>
          </w:p>
        </w:tc>
        <w:tc>
          <w:tcPr>
            <w:tcW w:w="412" w:type="pct"/>
            <w:tcBorders>
              <w:top w:val="single" w:color="auto" w:sz="4" w:space="0"/>
              <w:left w:val="single" w:color="auto" w:sz="4" w:space="0"/>
              <w:bottom w:val="single" w:color="auto" w:sz="4" w:space="0"/>
              <w:right w:val="single" w:color="auto" w:sz="4" w:space="0"/>
            </w:tcBorders>
            <w:vAlign w:val="center"/>
          </w:tcPr>
          <w:p w14:paraId="1FED827D">
            <w:pPr>
              <w:widowControl/>
              <w:adjustRightInd w:val="0"/>
              <w:snapToGrid w:val="0"/>
              <w:spacing w:line="200" w:lineRule="exact"/>
              <w:jc w:val="center"/>
              <w:rPr>
                <w:rFonts w:hint="eastAsia" w:ascii="宋体" w:hAnsi="宋体" w:eastAsia="宋体" w:cs="宋体"/>
                <w:bCs/>
                <w:color w:val="000000"/>
                <w:sz w:val="24"/>
              </w:rPr>
            </w:pPr>
          </w:p>
        </w:tc>
      </w:tr>
      <w:tr w14:paraId="7179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650" w:type="pct"/>
            <w:tcBorders>
              <w:top w:val="single" w:color="auto" w:sz="4" w:space="0"/>
              <w:left w:val="single" w:color="auto" w:sz="4" w:space="0"/>
              <w:bottom w:val="single" w:color="auto" w:sz="4" w:space="0"/>
              <w:right w:val="single" w:color="auto" w:sz="4" w:space="0"/>
            </w:tcBorders>
            <w:vAlign w:val="center"/>
          </w:tcPr>
          <w:p w14:paraId="0D0048FD">
            <w:pPr>
              <w:widowControl/>
              <w:adjustRightInd w:val="0"/>
              <w:snapToGrid w:val="0"/>
              <w:spacing w:line="200" w:lineRule="exact"/>
              <w:jc w:val="center"/>
              <w:rPr>
                <w:rFonts w:hint="eastAsia" w:ascii="宋体" w:hAnsi="宋体" w:eastAsia="宋体" w:cs="宋体"/>
                <w:bCs/>
                <w:color w:val="000000"/>
                <w:sz w:val="18"/>
                <w:szCs w:val="18"/>
              </w:rPr>
            </w:pPr>
            <w:r>
              <w:rPr>
                <w:rFonts w:hint="eastAsia" w:ascii="宋体" w:hAnsi="宋体" w:eastAsia="宋体" w:cs="宋体"/>
                <w:bCs/>
                <w:color w:val="000000"/>
                <w:sz w:val="18"/>
                <w:szCs w:val="18"/>
              </w:rPr>
              <w:t>11</w:t>
            </w:r>
          </w:p>
        </w:tc>
        <w:tc>
          <w:tcPr>
            <w:tcW w:w="1231" w:type="pct"/>
            <w:tcBorders>
              <w:top w:val="single" w:color="auto" w:sz="4" w:space="0"/>
              <w:left w:val="single" w:color="auto" w:sz="4" w:space="0"/>
              <w:bottom w:val="single" w:color="auto" w:sz="4" w:space="0"/>
              <w:right w:val="single" w:color="auto" w:sz="4" w:space="0"/>
            </w:tcBorders>
            <w:vAlign w:val="center"/>
          </w:tcPr>
          <w:p w14:paraId="5EFCBF3D">
            <w:pPr>
              <w:widowControl/>
              <w:adjustRightInd w:val="0"/>
              <w:snapToGrid w:val="0"/>
              <w:spacing w:line="200" w:lineRule="exact"/>
              <w:jc w:val="center"/>
              <w:rPr>
                <w:rFonts w:hint="eastAsia" w:ascii="宋体" w:hAnsi="宋体" w:eastAsia="宋体" w:cs="宋体"/>
                <w:bCs/>
                <w:color w:val="000000"/>
                <w:sz w:val="18"/>
                <w:szCs w:val="18"/>
              </w:rPr>
            </w:pPr>
            <w:r>
              <w:rPr>
                <w:rFonts w:hint="eastAsia" w:ascii="宋体" w:hAnsi="宋体" w:eastAsia="宋体" w:cs="宋体"/>
                <w:bCs/>
                <w:color w:val="000000"/>
                <w:sz w:val="18"/>
                <w:szCs w:val="18"/>
              </w:rPr>
              <w:t>油漆工艺</w:t>
            </w:r>
          </w:p>
        </w:tc>
        <w:tc>
          <w:tcPr>
            <w:tcW w:w="2705" w:type="pct"/>
            <w:tcBorders>
              <w:top w:val="single" w:color="auto" w:sz="4" w:space="0"/>
              <w:left w:val="single" w:color="auto" w:sz="4" w:space="0"/>
              <w:bottom w:val="single" w:color="auto" w:sz="4" w:space="0"/>
              <w:right w:val="single" w:color="auto" w:sz="4" w:space="0"/>
            </w:tcBorders>
            <w:vAlign w:val="center"/>
          </w:tcPr>
          <w:p w14:paraId="2141833E">
            <w:pPr>
              <w:widowControl/>
              <w:adjustRightInd w:val="0"/>
              <w:snapToGrid w:val="0"/>
              <w:spacing w:line="200" w:lineRule="exact"/>
              <w:rPr>
                <w:rFonts w:hint="eastAsia" w:ascii="宋体" w:hAnsi="宋体" w:eastAsia="宋体" w:cs="宋体"/>
                <w:bCs/>
                <w:color w:val="000000"/>
                <w:sz w:val="18"/>
                <w:szCs w:val="18"/>
              </w:rPr>
            </w:pPr>
            <w:r>
              <w:rPr>
                <w:rFonts w:hint="eastAsia" w:ascii="宋体" w:hAnsi="宋体" w:eastAsia="宋体" w:cs="宋体"/>
                <w:bCs/>
                <w:color w:val="000000"/>
                <w:sz w:val="18"/>
                <w:szCs w:val="18"/>
              </w:rPr>
              <w:t>油漆工艺为二层底漆和二层面漆。油漆：采用环氧富锌底漆，采用高强度聚氨酯漆，干膜厚不低于 100</w:t>
            </w:r>
            <w:r>
              <w:rPr>
                <w:rFonts w:ascii="Calibri" w:hAnsi="Calibri" w:eastAsia="宋体" w:cs="Calibri"/>
                <w:bCs/>
                <w:color w:val="000000"/>
                <w:sz w:val="18"/>
                <w:szCs w:val="18"/>
              </w:rPr>
              <w:t>µ</w:t>
            </w:r>
            <w:r>
              <w:rPr>
                <w:rFonts w:hint="eastAsia" w:ascii="宋体" w:hAnsi="宋体" w:eastAsia="宋体" w:cs="宋体"/>
                <w:bCs/>
                <w:color w:val="000000"/>
                <w:sz w:val="18"/>
                <w:szCs w:val="18"/>
              </w:rPr>
              <w:t>m。</w:t>
            </w:r>
          </w:p>
        </w:tc>
        <w:tc>
          <w:tcPr>
            <w:tcW w:w="412" w:type="pct"/>
            <w:tcBorders>
              <w:top w:val="single" w:color="auto" w:sz="4" w:space="0"/>
              <w:left w:val="single" w:color="auto" w:sz="4" w:space="0"/>
              <w:bottom w:val="single" w:color="auto" w:sz="4" w:space="0"/>
              <w:right w:val="single" w:color="auto" w:sz="4" w:space="0"/>
            </w:tcBorders>
            <w:vAlign w:val="center"/>
          </w:tcPr>
          <w:p w14:paraId="6954B391">
            <w:pPr>
              <w:widowControl/>
              <w:adjustRightInd w:val="0"/>
              <w:snapToGrid w:val="0"/>
              <w:spacing w:line="200" w:lineRule="exact"/>
              <w:rPr>
                <w:rFonts w:hint="eastAsia" w:ascii="宋体" w:hAnsi="宋体" w:eastAsia="宋体" w:cs="宋体"/>
                <w:bCs/>
                <w:color w:val="000000"/>
                <w:sz w:val="24"/>
              </w:rPr>
            </w:pPr>
          </w:p>
        </w:tc>
      </w:tr>
    </w:tbl>
    <w:p w14:paraId="66774D43">
      <w:pPr>
        <w:widowControl/>
        <w:adjustRightInd w:val="0"/>
        <w:snapToGrid w:val="0"/>
        <w:spacing w:line="200" w:lineRule="exact"/>
        <w:ind w:firstLine="480" w:firstLineChars="200"/>
        <w:rPr>
          <w:rFonts w:hint="eastAsia" w:ascii="宋体" w:hAnsi="宋体" w:eastAsia="宋体" w:cs="宋体"/>
          <w:bCs/>
          <w:sz w:val="24"/>
        </w:rPr>
      </w:pPr>
    </w:p>
    <w:p w14:paraId="09DBF768">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3.2.3.2数字式称重传感器</w:t>
      </w:r>
    </w:p>
    <w:p w14:paraId="56AF121E">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称重传感器，耐腐蚀，具有良好的抗侧向力作用、过载能力强、应力分布均匀、测量精度高、动态性能好的特点。</w:t>
      </w:r>
    </w:p>
    <w:p w14:paraId="1556F1BA">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主要技术要求：</w:t>
      </w:r>
    </w:p>
    <w:tbl>
      <w:tblPr>
        <w:tblStyle w:val="35"/>
        <w:tblW w:w="42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65"/>
        <w:gridCol w:w="2247"/>
        <w:gridCol w:w="3195"/>
        <w:gridCol w:w="1213"/>
      </w:tblGrid>
      <w:tr w14:paraId="16A8E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43842478">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序  号</w:t>
            </w:r>
          </w:p>
        </w:tc>
        <w:tc>
          <w:tcPr>
            <w:tcW w:w="1436" w:type="pct"/>
            <w:tcBorders>
              <w:top w:val="single" w:color="000000" w:sz="4" w:space="0"/>
              <w:left w:val="single" w:color="000000" w:sz="4" w:space="0"/>
              <w:bottom w:val="single" w:color="000000" w:sz="4" w:space="0"/>
              <w:right w:val="single" w:color="000000" w:sz="4" w:space="0"/>
            </w:tcBorders>
            <w:vAlign w:val="center"/>
          </w:tcPr>
          <w:p w14:paraId="3F77D667">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项目</w:t>
            </w:r>
          </w:p>
        </w:tc>
        <w:tc>
          <w:tcPr>
            <w:tcW w:w="2042" w:type="pct"/>
            <w:tcBorders>
              <w:top w:val="single" w:color="000000" w:sz="4" w:space="0"/>
              <w:left w:val="single" w:color="000000" w:sz="4" w:space="0"/>
              <w:bottom w:val="single" w:color="000000" w:sz="4" w:space="0"/>
              <w:right w:val="single" w:color="000000" w:sz="4" w:space="0"/>
            </w:tcBorders>
            <w:vAlign w:val="center"/>
          </w:tcPr>
          <w:p w14:paraId="7368F9D8">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要求</w:t>
            </w:r>
          </w:p>
        </w:tc>
        <w:tc>
          <w:tcPr>
            <w:tcW w:w="775" w:type="pct"/>
            <w:tcBorders>
              <w:top w:val="single" w:color="000000" w:sz="4" w:space="0"/>
              <w:left w:val="single" w:color="000000" w:sz="4" w:space="0"/>
              <w:bottom w:val="single" w:color="000000" w:sz="4" w:space="0"/>
              <w:right w:val="single" w:color="000000" w:sz="4" w:space="0"/>
            </w:tcBorders>
            <w:vAlign w:val="center"/>
          </w:tcPr>
          <w:p w14:paraId="1D45B7CD">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备注</w:t>
            </w:r>
          </w:p>
        </w:tc>
      </w:tr>
      <w:tr w14:paraId="3A3B7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69F2BB76">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w:t>
            </w:r>
          </w:p>
        </w:tc>
        <w:tc>
          <w:tcPr>
            <w:tcW w:w="1436" w:type="pct"/>
            <w:tcBorders>
              <w:top w:val="single" w:color="000000" w:sz="4" w:space="0"/>
              <w:left w:val="single" w:color="000000" w:sz="4" w:space="0"/>
              <w:bottom w:val="single" w:color="000000" w:sz="4" w:space="0"/>
              <w:right w:val="single" w:color="000000" w:sz="4" w:space="0"/>
            </w:tcBorders>
            <w:vAlign w:val="center"/>
          </w:tcPr>
          <w:p w14:paraId="200E9C6C">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单只额定荷载</w:t>
            </w:r>
          </w:p>
        </w:tc>
        <w:tc>
          <w:tcPr>
            <w:tcW w:w="2042" w:type="pct"/>
            <w:tcBorders>
              <w:top w:val="single" w:color="000000" w:sz="4" w:space="0"/>
              <w:left w:val="single" w:color="000000" w:sz="4" w:space="0"/>
              <w:bottom w:val="single" w:color="000000" w:sz="4" w:space="0"/>
              <w:right w:val="single" w:color="000000" w:sz="4" w:space="0"/>
            </w:tcBorders>
            <w:vAlign w:val="center"/>
          </w:tcPr>
          <w:p w14:paraId="6B93AD0E">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30吨</w:t>
            </w:r>
          </w:p>
        </w:tc>
        <w:tc>
          <w:tcPr>
            <w:tcW w:w="775" w:type="pct"/>
            <w:tcBorders>
              <w:top w:val="single" w:color="000000" w:sz="4" w:space="0"/>
              <w:left w:val="single" w:color="000000" w:sz="4" w:space="0"/>
              <w:bottom w:val="single" w:color="000000" w:sz="4" w:space="0"/>
              <w:right w:val="single" w:color="000000" w:sz="4" w:space="0"/>
            </w:tcBorders>
            <w:vAlign w:val="center"/>
          </w:tcPr>
          <w:p w14:paraId="1B62D96A">
            <w:pPr>
              <w:spacing w:line="500" w:lineRule="exact"/>
              <w:jc w:val="center"/>
              <w:rPr>
                <w:rFonts w:hint="eastAsia" w:ascii="宋体" w:hAnsi="宋体" w:eastAsia="宋体" w:cs="宋体"/>
                <w:bCs/>
                <w:sz w:val="18"/>
                <w:szCs w:val="18"/>
              </w:rPr>
            </w:pPr>
          </w:p>
        </w:tc>
      </w:tr>
      <w:tr w14:paraId="3F47E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174CF726">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2</w:t>
            </w:r>
          </w:p>
        </w:tc>
        <w:tc>
          <w:tcPr>
            <w:tcW w:w="1436" w:type="pct"/>
            <w:tcBorders>
              <w:top w:val="single" w:color="000000" w:sz="4" w:space="0"/>
              <w:left w:val="single" w:color="000000" w:sz="4" w:space="0"/>
              <w:bottom w:val="single" w:color="000000" w:sz="4" w:space="0"/>
              <w:right w:val="single" w:color="000000" w:sz="4" w:space="0"/>
            </w:tcBorders>
            <w:vAlign w:val="center"/>
          </w:tcPr>
          <w:p w14:paraId="7EB22D9D">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准确度等级</w:t>
            </w:r>
          </w:p>
        </w:tc>
        <w:tc>
          <w:tcPr>
            <w:tcW w:w="2042" w:type="pct"/>
            <w:tcBorders>
              <w:top w:val="single" w:color="000000" w:sz="4" w:space="0"/>
              <w:left w:val="single" w:color="000000" w:sz="4" w:space="0"/>
              <w:bottom w:val="single" w:color="000000" w:sz="4" w:space="0"/>
              <w:right w:val="single" w:color="000000" w:sz="4" w:space="0"/>
            </w:tcBorders>
            <w:vAlign w:val="center"/>
          </w:tcPr>
          <w:p w14:paraId="148CE4D0">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±0.02%FS</w:t>
            </w:r>
          </w:p>
        </w:tc>
        <w:tc>
          <w:tcPr>
            <w:tcW w:w="775" w:type="pct"/>
            <w:tcBorders>
              <w:top w:val="single" w:color="000000" w:sz="4" w:space="0"/>
              <w:left w:val="single" w:color="000000" w:sz="4" w:space="0"/>
              <w:bottom w:val="single" w:color="000000" w:sz="4" w:space="0"/>
              <w:right w:val="single" w:color="000000" w:sz="4" w:space="0"/>
            </w:tcBorders>
            <w:vAlign w:val="center"/>
          </w:tcPr>
          <w:p w14:paraId="7C32ADF1">
            <w:pPr>
              <w:spacing w:line="500" w:lineRule="exact"/>
              <w:jc w:val="center"/>
              <w:rPr>
                <w:rFonts w:hint="eastAsia" w:ascii="宋体" w:hAnsi="宋体" w:eastAsia="宋体" w:cs="宋体"/>
                <w:bCs/>
                <w:sz w:val="18"/>
                <w:szCs w:val="18"/>
              </w:rPr>
            </w:pPr>
          </w:p>
        </w:tc>
      </w:tr>
      <w:tr w14:paraId="562F4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4393614F">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3</w:t>
            </w:r>
          </w:p>
        </w:tc>
        <w:tc>
          <w:tcPr>
            <w:tcW w:w="1436" w:type="pct"/>
            <w:tcBorders>
              <w:top w:val="single" w:color="000000" w:sz="4" w:space="0"/>
              <w:left w:val="single" w:color="000000" w:sz="4" w:space="0"/>
              <w:bottom w:val="single" w:color="000000" w:sz="4" w:space="0"/>
              <w:right w:val="single" w:color="000000" w:sz="4" w:space="0"/>
            </w:tcBorders>
            <w:vAlign w:val="center"/>
          </w:tcPr>
          <w:p w14:paraId="0808FCC1">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模块分辨率</w:t>
            </w:r>
          </w:p>
        </w:tc>
        <w:tc>
          <w:tcPr>
            <w:tcW w:w="2042" w:type="pct"/>
            <w:tcBorders>
              <w:top w:val="single" w:color="000000" w:sz="4" w:space="0"/>
              <w:left w:val="single" w:color="000000" w:sz="4" w:space="0"/>
              <w:bottom w:val="single" w:color="000000" w:sz="4" w:space="0"/>
              <w:right w:val="single" w:color="000000" w:sz="4" w:space="0"/>
            </w:tcBorders>
            <w:vAlign w:val="center"/>
          </w:tcPr>
          <w:p w14:paraId="5BD51E8D">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100000码</w:t>
            </w:r>
          </w:p>
        </w:tc>
        <w:tc>
          <w:tcPr>
            <w:tcW w:w="775" w:type="pct"/>
            <w:tcBorders>
              <w:top w:val="single" w:color="000000" w:sz="4" w:space="0"/>
              <w:left w:val="single" w:color="000000" w:sz="4" w:space="0"/>
              <w:bottom w:val="single" w:color="000000" w:sz="4" w:space="0"/>
              <w:right w:val="single" w:color="000000" w:sz="4" w:space="0"/>
            </w:tcBorders>
            <w:vAlign w:val="center"/>
          </w:tcPr>
          <w:p w14:paraId="1A01E808">
            <w:pPr>
              <w:spacing w:line="500" w:lineRule="exact"/>
              <w:jc w:val="center"/>
              <w:rPr>
                <w:rFonts w:hint="eastAsia" w:ascii="宋体" w:hAnsi="宋体" w:eastAsia="宋体" w:cs="宋体"/>
                <w:bCs/>
                <w:sz w:val="18"/>
                <w:szCs w:val="18"/>
              </w:rPr>
            </w:pPr>
          </w:p>
        </w:tc>
      </w:tr>
      <w:tr w14:paraId="0EFF3B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6EFB8A44">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4</w:t>
            </w:r>
          </w:p>
        </w:tc>
        <w:tc>
          <w:tcPr>
            <w:tcW w:w="1436" w:type="pct"/>
            <w:tcBorders>
              <w:top w:val="single" w:color="000000" w:sz="4" w:space="0"/>
              <w:left w:val="single" w:color="000000" w:sz="4" w:space="0"/>
              <w:bottom w:val="single" w:color="000000" w:sz="4" w:space="0"/>
              <w:right w:val="single" w:color="000000" w:sz="4" w:space="0"/>
            </w:tcBorders>
            <w:vAlign w:val="center"/>
          </w:tcPr>
          <w:p w14:paraId="42F443C5">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安装要求</w:t>
            </w:r>
          </w:p>
        </w:tc>
        <w:tc>
          <w:tcPr>
            <w:tcW w:w="2042" w:type="pct"/>
            <w:tcBorders>
              <w:top w:val="single" w:color="000000" w:sz="4" w:space="0"/>
              <w:left w:val="single" w:color="000000" w:sz="4" w:space="0"/>
              <w:bottom w:val="single" w:color="000000" w:sz="4" w:space="0"/>
              <w:right w:val="single" w:color="000000" w:sz="4" w:space="0"/>
            </w:tcBorders>
            <w:vAlign w:val="center"/>
          </w:tcPr>
          <w:p w14:paraId="2FD8BA27">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正装</w:t>
            </w:r>
          </w:p>
        </w:tc>
        <w:tc>
          <w:tcPr>
            <w:tcW w:w="775" w:type="pct"/>
            <w:tcBorders>
              <w:top w:val="single" w:color="000000" w:sz="4" w:space="0"/>
              <w:left w:val="single" w:color="000000" w:sz="4" w:space="0"/>
              <w:bottom w:val="single" w:color="000000" w:sz="4" w:space="0"/>
              <w:right w:val="single" w:color="000000" w:sz="4" w:space="0"/>
            </w:tcBorders>
            <w:vAlign w:val="center"/>
          </w:tcPr>
          <w:p w14:paraId="286A3EFD">
            <w:pPr>
              <w:spacing w:line="500" w:lineRule="exact"/>
              <w:jc w:val="center"/>
              <w:rPr>
                <w:rFonts w:hint="eastAsia" w:ascii="宋体" w:hAnsi="宋体" w:eastAsia="宋体" w:cs="宋体"/>
                <w:bCs/>
                <w:sz w:val="18"/>
                <w:szCs w:val="18"/>
              </w:rPr>
            </w:pPr>
          </w:p>
        </w:tc>
      </w:tr>
      <w:tr w14:paraId="1A5A4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7089B5C4">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5</w:t>
            </w:r>
          </w:p>
        </w:tc>
        <w:tc>
          <w:tcPr>
            <w:tcW w:w="1436" w:type="pct"/>
            <w:tcBorders>
              <w:top w:val="single" w:color="000000" w:sz="4" w:space="0"/>
              <w:left w:val="single" w:color="000000" w:sz="4" w:space="0"/>
              <w:bottom w:val="single" w:color="000000" w:sz="4" w:space="0"/>
              <w:right w:val="single" w:color="000000" w:sz="4" w:space="0"/>
            </w:tcBorders>
            <w:vAlign w:val="center"/>
          </w:tcPr>
          <w:p w14:paraId="6E0F220D">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数据刷新速率</w:t>
            </w:r>
          </w:p>
        </w:tc>
        <w:tc>
          <w:tcPr>
            <w:tcW w:w="2042" w:type="pct"/>
            <w:tcBorders>
              <w:top w:val="single" w:color="000000" w:sz="4" w:space="0"/>
              <w:left w:val="single" w:color="000000" w:sz="4" w:space="0"/>
              <w:bottom w:val="single" w:color="000000" w:sz="4" w:space="0"/>
              <w:right w:val="single" w:color="000000" w:sz="4" w:space="0"/>
            </w:tcBorders>
            <w:vAlign w:val="center"/>
          </w:tcPr>
          <w:p w14:paraId="559A44AF">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50HZ</w:t>
            </w:r>
          </w:p>
        </w:tc>
        <w:tc>
          <w:tcPr>
            <w:tcW w:w="775" w:type="pct"/>
            <w:tcBorders>
              <w:top w:val="single" w:color="000000" w:sz="4" w:space="0"/>
              <w:left w:val="single" w:color="000000" w:sz="4" w:space="0"/>
              <w:bottom w:val="single" w:color="000000" w:sz="4" w:space="0"/>
              <w:right w:val="single" w:color="000000" w:sz="4" w:space="0"/>
            </w:tcBorders>
            <w:vAlign w:val="center"/>
          </w:tcPr>
          <w:p w14:paraId="1A49C013">
            <w:pPr>
              <w:spacing w:line="500" w:lineRule="exact"/>
              <w:jc w:val="center"/>
              <w:rPr>
                <w:rFonts w:hint="eastAsia" w:ascii="宋体" w:hAnsi="宋体" w:eastAsia="宋体" w:cs="宋体"/>
                <w:bCs/>
                <w:sz w:val="18"/>
                <w:szCs w:val="18"/>
              </w:rPr>
            </w:pPr>
          </w:p>
        </w:tc>
      </w:tr>
      <w:tr w14:paraId="232E1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151CD7D1">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6</w:t>
            </w:r>
          </w:p>
        </w:tc>
        <w:tc>
          <w:tcPr>
            <w:tcW w:w="1436" w:type="pct"/>
            <w:tcBorders>
              <w:top w:val="single" w:color="000000" w:sz="4" w:space="0"/>
              <w:left w:val="single" w:color="000000" w:sz="4" w:space="0"/>
              <w:bottom w:val="single" w:color="000000" w:sz="4" w:space="0"/>
              <w:right w:val="single" w:color="000000" w:sz="4" w:space="0"/>
            </w:tcBorders>
            <w:vAlign w:val="center"/>
          </w:tcPr>
          <w:p w14:paraId="0E903CCD">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通讯波特率</w:t>
            </w:r>
          </w:p>
        </w:tc>
        <w:tc>
          <w:tcPr>
            <w:tcW w:w="2042" w:type="pct"/>
            <w:tcBorders>
              <w:top w:val="single" w:color="000000" w:sz="4" w:space="0"/>
              <w:left w:val="single" w:color="000000" w:sz="4" w:space="0"/>
              <w:bottom w:val="single" w:color="000000" w:sz="4" w:space="0"/>
              <w:right w:val="single" w:color="000000" w:sz="4" w:space="0"/>
            </w:tcBorders>
            <w:vAlign w:val="center"/>
          </w:tcPr>
          <w:p w14:paraId="4E795013">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9600BPS</w:t>
            </w:r>
          </w:p>
        </w:tc>
        <w:tc>
          <w:tcPr>
            <w:tcW w:w="775" w:type="pct"/>
            <w:tcBorders>
              <w:top w:val="single" w:color="000000" w:sz="4" w:space="0"/>
              <w:left w:val="single" w:color="000000" w:sz="4" w:space="0"/>
              <w:bottom w:val="single" w:color="000000" w:sz="4" w:space="0"/>
              <w:right w:val="single" w:color="000000" w:sz="4" w:space="0"/>
            </w:tcBorders>
            <w:vAlign w:val="center"/>
          </w:tcPr>
          <w:p w14:paraId="1F01CD4F">
            <w:pPr>
              <w:spacing w:line="500" w:lineRule="exact"/>
              <w:jc w:val="center"/>
              <w:rPr>
                <w:rFonts w:hint="eastAsia" w:ascii="宋体" w:hAnsi="宋体" w:eastAsia="宋体" w:cs="宋体"/>
                <w:bCs/>
                <w:sz w:val="18"/>
                <w:szCs w:val="18"/>
              </w:rPr>
            </w:pPr>
          </w:p>
        </w:tc>
      </w:tr>
      <w:tr w14:paraId="005D4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39870CA3">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7</w:t>
            </w:r>
          </w:p>
        </w:tc>
        <w:tc>
          <w:tcPr>
            <w:tcW w:w="1436" w:type="pct"/>
            <w:tcBorders>
              <w:top w:val="single" w:color="000000" w:sz="4" w:space="0"/>
              <w:left w:val="single" w:color="000000" w:sz="4" w:space="0"/>
              <w:bottom w:val="single" w:color="000000" w:sz="4" w:space="0"/>
              <w:right w:val="single" w:color="000000" w:sz="4" w:space="0"/>
            </w:tcBorders>
            <w:vAlign w:val="center"/>
          </w:tcPr>
          <w:p w14:paraId="0CFCA5E8">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蠕变</w:t>
            </w:r>
          </w:p>
        </w:tc>
        <w:tc>
          <w:tcPr>
            <w:tcW w:w="2042" w:type="pct"/>
            <w:tcBorders>
              <w:top w:val="single" w:color="000000" w:sz="4" w:space="0"/>
              <w:left w:val="single" w:color="000000" w:sz="4" w:space="0"/>
              <w:bottom w:val="single" w:color="000000" w:sz="4" w:space="0"/>
              <w:right w:val="single" w:color="000000" w:sz="4" w:space="0"/>
            </w:tcBorders>
            <w:vAlign w:val="center"/>
          </w:tcPr>
          <w:p w14:paraId="53755CD8">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±0.02%FS∕30min</w:t>
            </w:r>
          </w:p>
        </w:tc>
        <w:tc>
          <w:tcPr>
            <w:tcW w:w="775" w:type="pct"/>
            <w:tcBorders>
              <w:top w:val="single" w:color="000000" w:sz="4" w:space="0"/>
              <w:left w:val="single" w:color="000000" w:sz="4" w:space="0"/>
              <w:bottom w:val="single" w:color="000000" w:sz="4" w:space="0"/>
              <w:right w:val="single" w:color="000000" w:sz="4" w:space="0"/>
            </w:tcBorders>
            <w:vAlign w:val="center"/>
          </w:tcPr>
          <w:p w14:paraId="5877A0B6">
            <w:pPr>
              <w:spacing w:line="500" w:lineRule="exact"/>
              <w:jc w:val="center"/>
              <w:rPr>
                <w:rFonts w:hint="eastAsia" w:ascii="宋体" w:hAnsi="宋体" w:eastAsia="宋体" w:cs="宋体"/>
                <w:bCs/>
                <w:sz w:val="18"/>
                <w:szCs w:val="18"/>
              </w:rPr>
            </w:pPr>
          </w:p>
        </w:tc>
      </w:tr>
      <w:tr w14:paraId="5B670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14D00727">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8</w:t>
            </w:r>
          </w:p>
        </w:tc>
        <w:tc>
          <w:tcPr>
            <w:tcW w:w="1436" w:type="pct"/>
            <w:tcBorders>
              <w:top w:val="single" w:color="000000" w:sz="4" w:space="0"/>
              <w:left w:val="single" w:color="000000" w:sz="4" w:space="0"/>
              <w:bottom w:val="single" w:color="000000" w:sz="4" w:space="0"/>
              <w:right w:val="single" w:color="000000" w:sz="4" w:space="0"/>
            </w:tcBorders>
            <w:vAlign w:val="center"/>
          </w:tcPr>
          <w:p w14:paraId="0BAF1F6A">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零点输出</w:t>
            </w:r>
          </w:p>
        </w:tc>
        <w:tc>
          <w:tcPr>
            <w:tcW w:w="2042" w:type="pct"/>
            <w:tcBorders>
              <w:top w:val="single" w:color="000000" w:sz="4" w:space="0"/>
              <w:left w:val="single" w:color="000000" w:sz="4" w:space="0"/>
              <w:bottom w:val="single" w:color="000000" w:sz="4" w:space="0"/>
              <w:right w:val="single" w:color="000000" w:sz="4" w:space="0"/>
            </w:tcBorders>
            <w:vAlign w:val="center"/>
          </w:tcPr>
          <w:p w14:paraId="5854E8D9">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±0.1%FS</w:t>
            </w:r>
          </w:p>
        </w:tc>
        <w:tc>
          <w:tcPr>
            <w:tcW w:w="775" w:type="pct"/>
            <w:tcBorders>
              <w:top w:val="single" w:color="000000" w:sz="4" w:space="0"/>
              <w:left w:val="single" w:color="000000" w:sz="4" w:space="0"/>
              <w:bottom w:val="single" w:color="000000" w:sz="4" w:space="0"/>
              <w:right w:val="single" w:color="000000" w:sz="4" w:space="0"/>
            </w:tcBorders>
            <w:vAlign w:val="center"/>
          </w:tcPr>
          <w:p w14:paraId="4C75B9D5">
            <w:pPr>
              <w:spacing w:line="500" w:lineRule="exact"/>
              <w:jc w:val="center"/>
              <w:rPr>
                <w:rFonts w:hint="eastAsia" w:ascii="宋体" w:hAnsi="宋体" w:eastAsia="宋体" w:cs="宋体"/>
                <w:bCs/>
                <w:sz w:val="18"/>
                <w:szCs w:val="18"/>
              </w:rPr>
            </w:pPr>
          </w:p>
        </w:tc>
      </w:tr>
      <w:tr w14:paraId="2A2C9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1B6E676E">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9</w:t>
            </w:r>
          </w:p>
        </w:tc>
        <w:tc>
          <w:tcPr>
            <w:tcW w:w="1436" w:type="pct"/>
            <w:tcBorders>
              <w:top w:val="single" w:color="000000" w:sz="4" w:space="0"/>
              <w:left w:val="single" w:color="000000" w:sz="4" w:space="0"/>
              <w:bottom w:val="single" w:color="000000" w:sz="4" w:space="0"/>
              <w:right w:val="single" w:color="000000" w:sz="4" w:space="0"/>
            </w:tcBorders>
            <w:vAlign w:val="center"/>
          </w:tcPr>
          <w:p w14:paraId="75829749">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温度系数</w:t>
            </w:r>
          </w:p>
        </w:tc>
        <w:tc>
          <w:tcPr>
            <w:tcW w:w="2042" w:type="pct"/>
            <w:tcBorders>
              <w:top w:val="single" w:color="000000" w:sz="4" w:space="0"/>
              <w:left w:val="single" w:color="000000" w:sz="4" w:space="0"/>
              <w:bottom w:val="single" w:color="000000" w:sz="4" w:space="0"/>
              <w:right w:val="single" w:color="000000" w:sz="4" w:space="0"/>
            </w:tcBorders>
            <w:vAlign w:val="center"/>
          </w:tcPr>
          <w:p w14:paraId="2DF2D1CB">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±0.02%FS∕10℃</w:t>
            </w:r>
          </w:p>
        </w:tc>
        <w:tc>
          <w:tcPr>
            <w:tcW w:w="775" w:type="pct"/>
            <w:tcBorders>
              <w:top w:val="single" w:color="000000" w:sz="4" w:space="0"/>
              <w:left w:val="single" w:color="000000" w:sz="4" w:space="0"/>
              <w:bottom w:val="single" w:color="000000" w:sz="4" w:space="0"/>
              <w:right w:val="single" w:color="000000" w:sz="4" w:space="0"/>
            </w:tcBorders>
            <w:vAlign w:val="center"/>
          </w:tcPr>
          <w:p w14:paraId="57671F67">
            <w:pPr>
              <w:spacing w:line="500" w:lineRule="exact"/>
              <w:jc w:val="center"/>
              <w:rPr>
                <w:rFonts w:hint="eastAsia" w:ascii="宋体" w:hAnsi="宋体" w:eastAsia="宋体" w:cs="宋体"/>
                <w:bCs/>
                <w:sz w:val="18"/>
                <w:szCs w:val="18"/>
              </w:rPr>
            </w:pPr>
          </w:p>
        </w:tc>
      </w:tr>
      <w:tr w14:paraId="492EB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0BB41EA4">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10</w:t>
            </w:r>
          </w:p>
        </w:tc>
        <w:tc>
          <w:tcPr>
            <w:tcW w:w="1436" w:type="pct"/>
            <w:tcBorders>
              <w:top w:val="single" w:color="000000" w:sz="4" w:space="0"/>
              <w:left w:val="single" w:color="000000" w:sz="4" w:space="0"/>
              <w:bottom w:val="single" w:color="000000" w:sz="4" w:space="0"/>
              <w:right w:val="single" w:color="000000" w:sz="4" w:space="0"/>
            </w:tcBorders>
            <w:vAlign w:val="center"/>
          </w:tcPr>
          <w:p w14:paraId="180834A0">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最大安全过载</w:t>
            </w:r>
          </w:p>
        </w:tc>
        <w:tc>
          <w:tcPr>
            <w:tcW w:w="2042" w:type="pct"/>
            <w:tcBorders>
              <w:top w:val="single" w:color="000000" w:sz="4" w:space="0"/>
              <w:left w:val="single" w:color="000000" w:sz="4" w:space="0"/>
              <w:bottom w:val="single" w:color="000000" w:sz="4" w:space="0"/>
              <w:right w:val="single" w:color="000000" w:sz="4" w:space="0"/>
            </w:tcBorders>
            <w:vAlign w:val="center"/>
          </w:tcPr>
          <w:p w14:paraId="0DD796B3">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150%FS</w:t>
            </w:r>
          </w:p>
        </w:tc>
        <w:tc>
          <w:tcPr>
            <w:tcW w:w="775" w:type="pct"/>
            <w:tcBorders>
              <w:top w:val="single" w:color="000000" w:sz="4" w:space="0"/>
              <w:left w:val="single" w:color="000000" w:sz="4" w:space="0"/>
              <w:bottom w:val="single" w:color="000000" w:sz="4" w:space="0"/>
              <w:right w:val="single" w:color="000000" w:sz="4" w:space="0"/>
            </w:tcBorders>
            <w:vAlign w:val="center"/>
          </w:tcPr>
          <w:p w14:paraId="22BD09D3">
            <w:pPr>
              <w:spacing w:line="500" w:lineRule="exact"/>
              <w:jc w:val="center"/>
              <w:rPr>
                <w:rFonts w:hint="eastAsia" w:ascii="宋体" w:hAnsi="宋体" w:eastAsia="宋体" w:cs="宋体"/>
                <w:bCs/>
                <w:sz w:val="18"/>
                <w:szCs w:val="18"/>
              </w:rPr>
            </w:pPr>
          </w:p>
        </w:tc>
      </w:tr>
      <w:tr w14:paraId="69B79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1F56B166">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11</w:t>
            </w:r>
          </w:p>
        </w:tc>
        <w:tc>
          <w:tcPr>
            <w:tcW w:w="1436" w:type="pct"/>
            <w:tcBorders>
              <w:top w:val="single" w:color="000000" w:sz="4" w:space="0"/>
              <w:left w:val="single" w:color="000000" w:sz="4" w:space="0"/>
              <w:bottom w:val="single" w:color="000000" w:sz="4" w:space="0"/>
              <w:right w:val="single" w:color="000000" w:sz="4" w:space="0"/>
            </w:tcBorders>
            <w:vAlign w:val="center"/>
          </w:tcPr>
          <w:p w14:paraId="5BE05884">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防护等级</w:t>
            </w:r>
          </w:p>
        </w:tc>
        <w:tc>
          <w:tcPr>
            <w:tcW w:w="2042" w:type="pct"/>
            <w:tcBorders>
              <w:top w:val="single" w:color="000000" w:sz="4" w:space="0"/>
              <w:left w:val="single" w:color="000000" w:sz="4" w:space="0"/>
              <w:bottom w:val="single" w:color="000000" w:sz="4" w:space="0"/>
              <w:right w:val="single" w:color="000000" w:sz="4" w:space="0"/>
            </w:tcBorders>
            <w:vAlign w:val="center"/>
          </w:tcPr>
          <w:p w14:paraId="48B09E36">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IP68</w:t>
            </w:r>
          </w:p>
        </w:tc>
        <w:tc>
          <w:tcPr>
            <w:tcW w:w="775" w:type="pct"/>
            <w:tcBorders>
              <w:top w:val="single" w:color="000000" w:sz="4" w:space="0"/>
              <w:left w:val="single" w:color="000000" w:sz="4" w:space="0"/>
              <w:bottom w:val="single" w:color="000000" w:sz="4" w:space="0"/>
              <w:right w:val="single" w:color="000000" w:sz="4" w:space="0"/>
            </w:tcBorders>
            <w:vAlign w:val="center"/>
          </w:tcPr>
          <w:p w14:paraId="3AB26ACA">
            <w:pPr>
              <w:spacing w:line="500" w:lineRule="exact"/>
              <w:jc w:val="center"/>
              <w:rPr>
                <w:rFonts w:hint="eastAsia" w:ascii="宋体" w:hAnsi="宋体" w:eastAsia="宋体" w:cs="宋体"/>
                <w:bCs/>
                <w:sz w:val="18"/>
                <w:szCs w:val="18"/>
              </w:rPr>
            </w:pPr>
          </w:p>
        </w:tc>
      </w:tr>
      <w:tr w14:paraId="04FF4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42AE5087">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12</w:t>
            </w:r>
          </w:p>
        </w:tc>
        <w:tc>
          <w:tcPr>
            <w:tcW w:w="1436" w:type="pct"/>
            <w:tcBorders>
              <w:top w:val="single" w:color="000000" w:sz="4" w:space="0"/>
              <w:left w:val="single" w:color="000000" w:sz="4" w:space="0"/>
              <w:bottom w:val="single" w:color="000000" w:sz="4" w:space="0"/>
              <w:right w:val="single" w:color="000000" w:sz="4" w:space="0"/>
            </w:tcBorders>
            <w:vAlign w:val="center"/>
          </w:tcPr>
          <w:p w14:paraId="34542D33">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使用温度范围</w:t>
            </w:r>
          </w:p>
        </w:tc>
        <w:tc>
          <w:tcPr>
            <w:tcW w:w="2042" w:type="pct"/>
            <w:tcBorders>
              <w:top w:val="single" w:color="000000" w:sz="4" w:space="0"/>
              <w:left w:val="single" w:color="000000" w:sz="4" w:space="0"/>
              <w:bottom w:val="single" w:color="000000" w:sz="4" w:space="0"/>
              <w:right w:val="single" w:color="000000" w:sz="4" w:space="0"/>
            </w:tcBorders>
            <w:vAlign w:val="center"/>
          </w:tcPr>
          <w:p w14:paraId="1C56D56C">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-30℃～+40℃</w:t>
            </w:r>
          </w:p>
        </w:tc>
        <w:tc>
          <w:tcPr>
            <w:tcW w:w="775" w:type="pct"/>
            <w:tcBorders>
              <w:top w:val="single" w:color="000000" w:sz="4" w:space="0"/>
              <w:left w:val="single" w:color="000000" w:sz="4" w:space="0"/>
              <w:bottom w:val="single" w:color="000000" w:sz="4" w:space="0"/>
              <w:right w:val="single" w:color="000000" w:sz="4" w:space="0"/>
            </w:tcBorders>
            <w:vAlign w:val="center"/>
          </w:tcPr>
          <w:p w14:paraId="4A46462F">
            <w:pPr>
              <w:spacing w:line="500" w:lineRule="exact"/>
              <w:jc w:val="center"/>
              <w:rPr>
                <w:rFonts w:hint="eastAsia" w:ascii="宋体" w:hAnsi="宋体" w:eastAsia="宋体" w:cs="宋体"/>
                <w:bCs/>
                <w:sz w:val="18"/>
                <w:szCs w:val="18"/>
              </w:rPr>
            </w:pPr>
          </w:p>
        </w:tc>
      </w:tr>
      <w:tr w14:paraId="16EE4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50DABB2A">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13</w:t>
            </w:r>
          </w:p>
        </w:tc>
        <w:tc>
          <w:tcPr>
            <w:tcW w:w="1436" w:type="pct"/>
            <w:tcBorders>
              <w:top w:val="single" w:color="000000" w:sz="4" w:space="0"/>
              <w:left w:val="single" w:color="000000" w:sz="4" w:space="0"/>
              <w:bottom w:val="single" w:color="000000" w:sz="4" w:space="0"/>
              <w:right w:val="single" w:color="000000" w:sz="4" w:space="0"/>
            </w:tcBorders>
            <w:vAlign w:val="center"/>
          </w:tcPr>
          <w:p w14:paraId="724B14D8">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推荐输入电压</w:t>
            </w:r>
          </w:p>
        </w:tc>
        <w:tc>
          <w:tcPr>
            <w:tcW w:w="2042" w:type="pct"/>
            <w:tcBorders>
              <w:top w:val="single" w:color="000000" w:sz="4" w:space="0"/>
              <w:left w:val="single" w:color="000000" w:sz="4" w:space="0"/>
              <w:bottom w:val="single" w:color="000000" w:sz="4" w:space="0"/>
              <w:right w:val="single" w:color="000000" w:sz="4" w:space="0"/>
            </w:tcBorders>
            <w:vAlign w:val="center"/>
          </w:tcPr>
          <w:p w14:paraId="456B9376">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9～12V  DC</w:t>
            </w:r>
          </w:p>
        </w:tc>
        <w:tc>
          <w:tcPr>
            <w:tcW w:w="775" w:type="pct"/>
            <w:tcBorders>
              <w:top w:val="single" w:color="000000" w:sz="4" w:space="0"/>
              <w:left w:val="single" w:color="000000" w:sz="4" w:space="0"/>
              <w:bottom w:val="single" w:color="000000" w:sz="4" w:space="0"/>
              <w:right w:val="single" w:color="000000" w:sz="4" w:space="0"/>
            </w:tcBorders>
            <w:vAlign w:val="center"/>
          </w:tcPr>
          <w:p w14:paraId="4B04EC69">
            <w:pPr>
              <w:spacing w:line="500" w:lineRule="exact"/>
              <w:jc w:val="center"/>
              <w:rPr>
                <w:rFonts w:hint="eastAsia" w:ascii="宋体" w:hAnsi="宋体" w:eastAsia="宋体" w:cs="宋体"/>
                <w:bCs/>
                <w:sz w:val="18"/>
                <w:szCs w:val="18"/>
              </w:rPr>
            </w:pPr>
          </w:p>
        </w:tc>
      </w:tr>
      <w:tr w14:paraId="1F897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4E9E2FCC">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14</w:t>
            </w:r>
          </w:p>
        </w:tc>
        <w:tc>
          <w:tcPr>
            <w:tcW w:w="1436" w:type="pct"/>
            <w:tcBorders>
              <w:top w:val="single" w:color="000000" w:sz="4" w:space="0"/>
              <w:left w:val="single" w:color="000000" w:sz="4" w:space="0"/>
              <w:bottom w:val="single" w:color="000000" w:sz="4" w:space="0"/>
              <w:right w:val="single" w:color="000000" w:sz="4" w:space="0"/>
            </w:tcBorders>
            <w:vAlign w:val="center"/>
          </w:tcPr>
          <w:p w14:paraId="259C8937">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最大输入电压</w:t>
            </w:r>
          </w:p>
        </w:tc>
        <w:tc>
          <w:tcPr>
            <w:tcW w:w="2042" w:type="pct"/>
            <w:tcBorders>
              <w:top w:val="single" w:color="000000" w:sz="4" w:space="0"/>
              <w:left w:val="single" w:color="000000" w:sz="4" w:space="0"/>
              <w:bottom w:val="single" w:color="000000" w:sz="4" w:space="0"/>
              <w:right w:val="single" w:color="000000" w:sz="4" w:space="0"/>
            </w:tcBorders>
            <w:vAlign w:val="center"/>
          </w:tcPr>
          <w:p w14:paraId="0148D03C">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20V  DC</w:t>
            </w:r>
          </w:p>
        </w:tc>
        <w:tc>
          <w:tcPr>
            <w:tcW w:w="775" w:type="pct"/>
            <w:tcBorders>
              <w:top w:val="single" w:color="000000" w:sz="4" w:space="0"/>
              <w:left w:val="single" w:color="000000" w:sz="4" w:space="0"/>
              <w:bottom w:val="single" w:color="000000" w:sz="4" w:space="0"/>
              <w:right w:val="single" w:color="000000" w:sz="4" w:space="0"/>
            </w:tcBorders>
            <w:vAlign w:val="center"/>
          </w:tcPr>
          <w:p w14:paraId="61694BB0">
            <w:pPr>
              <w:spacing w:line="500" w:lineRule="exact"/>
              <w:jc w:val="center"/>
              <w:rPr>
                <w:rFonts w:hint="eastAsia" w:ascii="宋体" w:hAnsi="宋体" w:eastAsia="宋体" w:cs="宋体"/>
                <w:bCs/>
                <w:sz w:val="18"/>
                <w:szCs w:val="18"/>
              </w:rPr>
            </w:pPr>
          </w:p>
        </w:tc>
      </w:tr>
      <w:tr w14:paraId="2FE65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745" w:type="pct"/>
            <w:tcBorders>
              <w:top w:val="single" w:color="000000" w:sz="4" w:space="0"/>
              <w:left w:val="single" w:color="000000" w:sz="4" w:space="0"/>
              <w:bottom w:val="single" w:color="000000" w:sz="4" w:space="0"/>
              <w:right w:val="single" w:color="000000" w:sz="4" w:space="0"/>
            </w:tcBorders>
            <w:vAlign w:val="center"/>
          </w:tcPr>
          <w:p w14:paraId="781F0519">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15</w:t>
            </w:r>
          </w:p>
        </w:tc>
        <w:tc>
          <w:tcPr>
            <w:tcW w:w="1436" w:type="pct"/>
            <w:tcBorders>
              <w:top w:val="single" w:color="000000" w:sz="4" w:space="0"/>
              <w:left w:val="single" w:color="000000" w:sz="4" w:space="0"/>
              <w:bottom w:val="single" w:color="000000" w:sz="4" w:space="0"/>
              <w:right w:val="single" w:color="000000" w:sz="4" w:space="0"/>
            </w:tcBorders>
            <w:vAlign w:val="center"/>
          </w:tcPr>
          <w:p w14:paraId="59138A5D">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最大传输距离</w:t>
            </w:r>
          </w:p>
        </w:tc>
        <w:tc>
          <w:tcPr>
            <w:tcW w:w="2042" w:type="pct"/>
            <w:tcBorders>
              <w:top w:val="single" w:color="000000" w:sz="4" w:space="0"/>
              <w:left w:val="single" w:color="000000" w:sz="4" w:space="0"/>
              <w:bottom w:val="single" w:color="000000" w:sz="4" w:space="0"/>
              <w:right w:val="single" w:color="000000" w:sz="4" w:space="0"/>
            </w:tcBorders>
            <w:vAlign w:val="center"/>
          </w:tcPr>
          <w:p w14:paraId="5DAFFC68">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1200米</w:t>
            </w:r>
          </w:p>
        </w:tc>
        <w:tc>
          <w:tcPr>
            <w:tcW w:w="775" w:type="pct"/>
            <w:tcBorders>
              <w:top w:val="single" w:color="000000" w:sz="4" w:space="0"/>
              <w:left w:val="single" w:color="000000" w:sz="4" w:space="0"/>
              <w:bottom w:val="single" w:color="000000" w:sz="4" w:space="0"/>
              <w:right w:val="single" w:color="000000" w:sz="4" w:space="0"/>
            </w:tcBorders>
            <w:vAlign w:val="center"/>
          </w:tcPr>
          <w:p w14:paraId="43730DD4">
            <w:pPr>
              <w:spacing w:line="500" w:lineRule="exact"/>
              <w:jc w:val="center"/>
              <w:rPr>
                <w:rFonts w:hint="eastAsia" w:ascii="宋体" w:hAnsi="宋体" w:eastAsia="宋体" w:cs="宋体"/>
                <w:bCs/>
                <w:sz w:val="18"/>
                <w:szCs w:val="18"/>
              </w:rPr>
            </w:pPr>
          </w:p>
        </w:tc>
      </w:tr>
    </w:tbl>
    <w:p w14:paraId="32580325">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3.2.3.3 数字式称重仪表</w:t>
      </w:r>
    </w:p>
    <w:tbl>
      <w:tblPr>
        <w:tblStyle w:val="35"/>
        <w:tblW w:w="49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8"/>
        <w:gridCol w:w="1751"/>
        <w:gridCol w:w="4620"/>
        <w:gridCol w:w="1645"/>
      </w:tblGrid>
      <w:tr w14:paraId="40F2D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757D7EFA">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序号</w:t>
            </w:r>
          </w:p>
        </w:tc>
        <w:tc>
          <w:tcPr>
            <w:tcW w:w="957" w:type="pct"/>
            <w:tcBorders>
              <w:top w:val="single" w:color="000000" w:sz="4" w:space="0"/>
              <w:left w:val="single" w:color="000000" w:sz="4" w:space="0"/>
              <w:bottom w:val="single" w:color="000000" w:sz="4" w:space="0"/>
              <w:right w:val="single" w:color="000000" w:sz="4" w:space="0"/>
            </w:tcBorders>
            <w:vAlign w:val="center"/>
          </w:tcPr>
          <w:p w14:paraId="6A7D232C">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项目</w:t>
            </w:r>
          </w:p>
        </w:tc>
        <w:tc>
          <w:tcPr>
            <w:tcW w:w="2525" w:type="pct"/>
            <w:tcBorders>
              <w:top w:val="single" w:color="000000" w:sz="4" w:space="0"/>
              <w:left w:val="single" w:color="000000" w:sz="4" w:space="0"/>
              <w:bottom w:val="single" w:color="000000" w:sz="4" w:space="0"/>
              <w:right w:val="single" w:color="000000" w:sz="4" w:space="0"/>
            </w:tcBorders>
            <w:vAlign w:val="center"/>
          </w:tcPr>
          <w:p w14:paraId="5DBB2D9E">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要   求</w:t>
            </w:r>
          </w:p>
        </w:tc>
        <w:tc>
          <w:tcPr>
            <w:tcW w:w="899" w:type="pct"/>
            <w:tcBorders>
              <w:top w:val="single" w:color="000000" w:sz="4" w:space="0"/>
              <w:left w:val="single" w:color="000000" w:sz="4" w:space="0"/>
              <w:bottom w:val="single" w:color="000000" w:sz="4" w:space="0"/>
              <w:right w:val="single" w:color="000000" w:sz="4" w:space="0"/>
            </w:tcBorders>
            <w:vAlign w:val="center"/>
          </w:tcPr>
          <w:p w14:paraId="70D1F00B">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备</w:t>
            </w:r>
            <w:r>
              <w:rPr>
                <w:rFonts w:hint="eastAsia" w:ascii="宋体" w:hAnsi="宋体" w:eastAsia="宋体" w:cs="宋体"/>
                <w:bCs/>
                <w:sz w:val="18"/>
                <w:szCs w:val="18"/>
                <w:lang w:val="en-US" w:eastAsia="zh-CN"/>
              </w:rPr>
              <w:t xml:space="preserve">  </w:t>
            </w:r>
            <w:r>
              <w:rPr>
                <w:rFonts w:hint="eastAsia" w:ascii="宋体" w:hAnsi="宋体" w:eastAsia="宋体" w:cs="宋体"/>
                <w:bCs/>
                <w:sz w:val="18"/>
                <w:szCs w:val="18"/>
              </w:rPr>
              <w:t>注</w:t>
            </w:r>
          </w:p>
        </w:tc>
      </w:tr>
      <w:tr w14:paraId="4C7BE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48EF941C">
            <w:pPr>
              <w:spacing w:line="50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1</w:t>
            </w:r>
          </w:p>
        </w:tc>
        <w:tc>
          <w:tcPr>
            <w:tcW w:w="957" w:type="pct"/>
            <w:tcBorders>
              <w:top w:val="single" w:color="000000" w:sz="4" w:space="0"/>
              <w:left w:val="single" w:color="000000" w:sz="4" w:space="0"/>
              <w:bottom w:val="single" w:color="000000" w:sz="4" w:space="0"/>
              <w:right w:val="single" w:color="000000" w:sz="4" w:space="0"/>
            </w:tcBorders>
            <w:vAlign w:val="center"/>
          </w:tcPr>
          <w:p w14:paraId="1909FDAD">
            <w:pPr>
              <w:spacing w:line="500" w:lineRule="exact"/>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软件</w:t>
            </w:r>
          </w:p>
        </w:tc>
        <w:tc>
          <w:tcPr>
            <w:tcW w:w="2525" w:type="pct"/>
            <w:tcBorders>
              <w:top w:val="single" w:color="000000" w:sz="4" w:space="0"/>
              <w:left w:val="single" w:color="000000" w:sz="4" w:space="0"/>
              <w:bottom w:val="single" w:color="000000" w:sz="4" w:space="0"/>
              <w:right w:val="single" w:color="000000" w:sz="4" w:space="0"/>
            </w:tcBorders>
            <w:vAlign w:val="center"/>
          </w:tcPr>
          <w:p w14:paraId="0C58048B">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集团金钟工厂端软件，实现数据实时上传、视频监控照片、车牌识别等信息的上传</w:t>
            </w:r>
          </w:p>
        </w:tc>
        <w:tc>
          <w:tcPr>
            <w:tcW w:w="899" w:type="pct"/>
            <w:tcBorders>
              <w:top w:val="single" w:color="000000" w:sz="4" w:space="0"/>
              <w:left w:val="single" w:color="000000" w:sz="4" w:space="0"/>
              <w:bottom w:val="single" w:color="000000" w:sz="4" w:space="0"/>
              <w:right w:val="single" w:color="000000" w:sz="4" w:space="0"/>
            </w:tcBorders>
            <w:vAlign w:val="center"/>
          </w:tcPr>
          <w:p w14:paraId="4DAEAAA7">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中标方与山东金钟公司对接采购</w:t>
            </w:r>
          </w:p>
        </w:tc>
      </w:tr>
      <w:tr w14:paraId="3913D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301D19D7">
            <w:pPr>
              <w:spacing w:line="50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2</w:t>
            </w:r>
          </w:p>
        </w:tc>
        <w:tc>
          <w:tcPr>
            <w:tcW w:w="957" w:type="pct"/>
            <w:tcBorders>
              <w:top w:val="single" w:color="000000" w:sz="4" w:space="0"/>
              <w:left w:val="single" w:color="000000" w:sz="4" w:space="0"/>
              <w:bottom w:val="single" w:color="000000" w:sz="4" w:space="0"/>
              <w:right w:val="single" w:color="000000" w:sz="4" w:space="0"/>
            </w:tcBorders>
            <w:vAlign w:val="center"/>
          </w:tcPr>
          <w:p w14:paraId="481215DE">
            <w:pPr>
              <w:spacing w:line="50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电脑</w:t>
            </w:r>
          </w:p>
        </w:tc>
        <w:tc>
          <w:tcPr>
            <w:tcW w:w="2525" w:type="pct"/>
            <w:tcBorders>
              <w:top w:val="single" w:color="000000" w:sz="4" w:space="0"/>
              <w:left w:val="single" w:color="000000" w:sz="4" w:space="0"/>
              <w:bottom w:val="single" w:color="000000" w:sz="4" w:space="0"/>
              <w:right w:val="single" w:color="000000" w:sz="4" w:space="0"/>
            </w:tcBorders>
            <w:vAlign w:val="center"/>
          </w:tcPr>
          <w:p w14:paraId="76041F1C">
            <w:pPr>
              <w:spacing w:line="500" w:lineRule="exact"/>
              <w:jc w:val="lef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主流配置，不低于I7，硬盘≥500G，内存16G</w:t>
            </w:r>
          </w:p>
        </w:tc>
        <w:tc>
          <w:tcPr>
            <w:tcW w:w="899" w:type="pct"/>
            <w:tcBorders>
              <w:top w:val="single" w:color="000000" w:sz="4" w:space="0"/>
              <w:left w:val="single" w:color="000000" w:sz="4" w:space="0"/>
              <w:bottom w:val="single" w:color="000000" w:sz="4" w:space="0"/>
              <w:right w:val="single" w:color="000000" w:sz="4" w:space="0"/>
            </w:tcBorders>
            <w:vAlign w:val="center"/>
          </w:tcPr>
          <w:p w14:paraId="30BFA950">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非组装机</w:t>
            </w:r>
          </w:p>
        </w:tc>
      </w:tr>
      <w:tr w14:paraId="223C3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6433A6B8">
            <w:pPr>
              <w:spacing w:line="50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3</w:t>
            </w:r>
          </w:p>
        </w:tc>
        <w:tc>
          <w:tcPr>
            <w:tcW w:w="957" w:type="pct"/>
            <w:tcBorders>
              <w:top w:val="single" w:color="000000" w:sz="4" w:space="0"/>
              <w:left w:val="single" w:color="000000" w:sz="4" w:space="0"/>
              <w:bottom w:val="single" w:color="000000" w:sz="4" w:space="0"/>
              <w:right w:val="single" w:color="000000" w:sz="4" w:space="0"/>
            </w:tcBorders>
            <w:vAlign w:val="center"/>
          </w:tcPr>
          <w:p w14:paraId="4C146890">
            <w:pPr>
              <w:spacing w:line="500" w:lineRule="exact"/>
              <w:jc w:val="center"/>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打印机</w:t>
            </w:r>
          </w:p>
        </w:tc>
        <w:tc>
          <w:tcPr>
            <w:tcW w:w="2525" w:type="pct"/>
            <w:tcBorders>
              <w:top w:val="single" w:color="000000" w:sz="4" w:space="0"/>
              <w:left w:val="single" w:color="000000" w:sz="4" w:space="0"/>
              <w:bottom w:val="single" w:color="000000" w:sz="4" w:space="0"/>
              <w:right w:val="single" w:color="000000" w:sz="4" w:space="0"/>
            </w:tcBorders>
            <w:vAlign w:val="center"/>
          </w:tcPr>
          <w:p w14:paraId="65B186BE">
            <w:pPr>
              <w:spacing w:line="500" w:lineRule="exact"/>
              <w:jc w:val="left"/>
              <w:rPr>
                <w:rFonts w:hint="eastAsia" w:ascii="宋体" w:hAnsi="宋体" w:eastAsia="宋体" w:cs="宋体"/>
                <w:bCs/>
                <w:sz w:val="18"/>
                <w:szCs w:val="18"/>
                <w:lang w:val="en-US" w:eastAsia="zh-CN"/>
              </w:rPr>
            </w:pPr>
            <w:r>
              <w:rPr>
                <w:rFonts w:hint="eastAsia" w:ascii="宋体" w:hAnsi="宋体" w:eastAsia="宋体" w:cs="宋体"/>
                <w:bCs/>
                <w:sz w:val="18"/>
                <w:szCs w:val="18"/>
                <w:lang w:val="en-US" w:eastAsia="zh-CN"/>
              </w:rPr>
              <w:t>针式，</w:t>
            </w:r>
            <w:r>
              <w:rPr>
                <w:rFonts w:hint="eastAsia" w:ascii="宋体" w:hAnsi="宋体" w:eastAsia="宋体" w:cs="宋体"/>
                <w:bCs/>
                <w:sz w:val="18"/>
                <w:szCs w:val="18"/>
              </w:rPr>
              <w:t>二等分，五联，241*140mm磅单打印</w:t>
            </w:r>
          </w:p>
        </w:tc>
        <w:tc>
          <w:tcPr>
            <w:tcW w:w="899" w:type="pct"/>
            <w:tcBorders>
              <w:top w:val="single" w:color="000000" w:sz="4" w:space="0"/>
              <w:left w:val="single" w:color="000000" w:sz="4" w:space="0"/>
              <w:bottom w:val="single" w:color="000000" w:sz="4" w:space="0"/>
              <w:right w:val="single" w:color="000000" w:sz="4" w:space="0"/>
            </w:tcBorders>
            <w:vAlign w:val="center"/>
          </w:tcPr>
          <w:p w14:paraId="768C37AB">
            <w:pPr>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hint="eastAsia" w:ascii="宋体" w:hAnsi="宋体" w:eastAsia="宋体" w:cs="宋体"/>
                <w:bCs/>
                <w:sz w:val="18"/>
                <w:szCs w:val="18"/>
                <w:lang w:val="en-US" w:eastAsia="zh-CN"/>
              </w:rPr>
            </w:pPr>
          </w:p>
        </w:tc>
      </w:tr>
      <w:tr w14:paraId="4AEFB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3FB6ECC6">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4</w:t>
            </w:r>
          </w:p>
        </w:tc>
        <w:tc>
          <w:tcPr>
            <w:tcW w:w="957" w:type="pct"/>
            <w:tcBorders>
              <w:top w:val="single" w:color="000000" w:sz="4" w:space="0"/>
              <w:left w:val="single" w:color="000000" w:sz="4" w:space="0"/>
              <w:bottom w:val="single" w:color="000000" w:sz="4" w:space="0"/>
              <w:right w:val="single" w:color="000000" w:sz="4" w:space="0"/>
            </w:tcBorders>
            <w:vAlign w:val="center"/>
          </w:tcPr>
          <w:p w14:paraId="67A63F72">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交流电源接口</w:t>
            </w:r>
          </w:p>
        </w:tc>
        <w:tc>
          <w:tcPr>
            <w:tcW w:w="2525" w:type="pct"/>
            <w:tcBorders>
              <w:top w:val="single" w:color="000000" w:sz="4" w:space="0"/>
              <w:left w:val="single" w:color="000000" w:sz="4" w:space="0"/>
              <w:bottom w:val="single" w:color="000000" w:sz="4" w:space="0"/>
              <w:right w:val="single" w:color="000000" w:sz="4" w:space="0"/>
            </w:tcBorders>
            <w:vAlign w:val="center"/>
          </w:tcPr>
          <w:p w14:paraId="6FDCD83F">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额定输入电源为交流 110～220V； 50Hz～60Hz</w:t>
            </w:r>
          </w:p>
        </w:tc>
        <w:tc>
          <w:tcPr>
            <w:tcW w:w="899" w:type="pct"/>
            <w:tcBorders>
              <w:top w:val="single" w:color="000000" w:sz="4" w:space="0"/>
              <w:left w:val="single" w:color="000000" w:sz="4" w:space="0"/>
              <w:bottom w:val="single" w:color="000000" w:sz="4" w:space="0"/>
              <w:right w:val="single" w:color="000000" w:sz="4" w:space="0"/>
            </w:tcBorders>
            <w:vAlign w:val="center"/>
          </w:tcPr>
          <w:p w14:paraId="0660CEF1">
            <w:pPr>
              <w:spacing w:line="500" w:lineRule="exact"/>
              <w:jc w:val="left"/>
              <w:rPr>
                <w:rFonts w:hint="eastAsia" w:ascii="宋体" w:hAnsi="宋体" w:eastAsia="宋体" w:cs="宋体"/>
                <w:bCs/>
                <w:sz w:val="18"/>
                <w:szCs w:val="18"/>
              </w:rPr>
            </w:pPr>
          </w:p>
        </w:tc>
      </w:tr>
      <w:tr w14:paraId="3B220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6931EED5">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5</w:t>
            </w:r>
          </w:p>
        </w:tc>
        <w:tc>
          <w:tcPr>
            <w:tcW w:w="957" w:type="pct"/>
            <w:tcBorders>
              <w:top w:val="single" w:color="000000" w:sz="4" w:space="0"/>
              <w:left w:val="single" w:color="000000" w:sz="4" w:space="0"/>
              <w:bottom w:val="single" w:color="000000" w:sz="4" w:space="0"/>
              <w:right w:val="single" w:color="000000" w:sz="4" w:space="0"/>
            </w:tcBorders>
            <w:vAlign w:val="center"/>
          </w:tcPr>
          <w:p w14:paraId="3BA43E11">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传感器接口</w:t>
            </w:r>
          </w:p>
        </w:tc>
        <w:tc>
          <w:tcPr>
            <w:tcW w:w="2525" w:type="pct"/>
            <w:tcBorders>
              <w:top w:val="single" w:color="000000" w:sz="4" w:space="0"/>
              <w:left w:val="single" w:color="000000" w:sz="4" w:space="0"/>
              <w:bottom w:val="single" w:color="000000" w:sz="4" w:space="0"/>
              <w:right w:val="single" w:color="000000" w:sz="4" w:space="0"/>
            </w:tcBorders>
            <w:vAlign w:val="center"/>
          </w:tcPr>
          <w:p w14:paraId="26EDE01A">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可连接1～16个数字传感器</w:t>
            </w:r>
          </w:p>
        </w:tc>
        <w:tc>
          <w:tcPr>
            <w:tcW w:w="899" w:type="pct"/>
            <w:tcBorders>
              <w:top w:val="single" w:color="000000" w:sz="4" w:space="0"/>
              <w:left w:val="single" w:color="000000" w:sz="4" w:space="0"/>
              <w:bottom w:val="single" w:color="000000" w:sz="4" w:space="0"/>
              <w:right w:val="single" w:color="000000" w:sz="4" w:space="0"/>
            </w:tcBorders>
            <w:vAlign w:val="center"/>
          </w:tcPr>
          <w:p w14:paraId="0EBB1BB1">
            <w:pPr>
              <w:spacing w:line="500" w:lineRule="exact"/>
              <w:jc w:val="left"/>
              <w:rPr>
                <w:rFonts w:hint="eastAsia" w:ascii="宋体" w:hAnsi="宋体" w:eastAsia="宋体" w:cs="宋体"/>
                <w:bCs/>
                <w:sz w:val="18"/>
                <w:szCs w:val="18"/>
              </w:rPr>
            </w:pPr>
          </w:p>
        </w:tc>
      </w:tr>
      <w:tr w14:paraId="7E8D5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241C2771">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6</w:t>
            </w:r>
          </w:p>
        </w:tc>
        <w:tc>
          <w:tcPr>
            <w:tcW w:w="957" w:type="pct"/>
            <w:tcBorders>
              <w:top w:val="single" w:color="000000" w:sz="4" w:space="0"/>
              <w:left w:val="single" w:color="000000" w:sz="4" w:space="0"/>
              <w:bottom w:val="single" w:color="000000" w:sz="4" w:space="0"/>
              <w:right w:val="single" w:color="000000" w:sz="4" w:space="0"/>
            </w:tcBorders>
            <w:vAlign w:val="center"/>
          </w:tcPr>
          <w:p w14:paraId="6721D64B">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大屏幕接口</w:t>
            </w:r>
          </w:p>
        </w:tc>
        <w:tc>
          <w:tcPr>
            <w:tcW w:w="2525" w:type="pct"/>
            <w:tcBorders>
              <w:top w:val="single" w:color="000000" w:sz="4" w:space="0"/>
              <w:left w:val="single" w:color="000000" w:sz="4" w:space="0"/>
              <w:bottom w:val="single" w:color="000000" w:sz="4" w:space="0"/>
              <w:right w:val="single" w:color="000000" w:sz="4" w:space="0"/>
            </w:tcBorders>
            <w:vAlign w:val="center"/>
          </w:tcPr>
          <w:p w14:paraId="1826D696">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RS232方式和电流环方式，波特率600bps</w:t>
            </w:r>
          </w:p>
        </w:tc>
        <w:tc>
          <w:tcPr>
            <w:tcW w:w="899" w:type="pct"/>
            <w:tcBorders>
              <w:top w:val="single" w:color="000000" w:sz="4" w:space="0"/>
              <w:left w:val="single" w:color="000000" w:sz="4" w:space="0"/>
              <w:bottom w:val="single" w:color="000000" w:sz="4" w:space="0"/>
              <w:right w:val="single" w:color="000000" w:sz="4" w:space="0"/>
            </w:tcBorders>
            <w:vAlign w:val="center"/>
          </w:tcPr>
          <w:p w14:paraId="2502FC14">
            <w:pPr>
              <w:spacing w:line="500" w:lineRule="exact"/>
              <w:jc w:val="left"/>
              <w:rPr>
                <w:rFonts w:hint="eastAsia" w:ascii="宋体" w:hAnsi="宋体" w:eastAsia="宋体" w:cs="宋体"/>
                <w:bCs/>
                <w:sz w:val="18"/>
                <w:szCs w:val="18"/>
              </w:rPr>
            </w:pPr>
          </w:p>
        </w:tc>
      </w:tr>
      <w:tr w14:paraId="3F1AF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5" w:hRule="atLeast"/>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1080D917">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7</w:t>
            </w:r>
          </w:p>
        </w:tc>
        <w:tc>
          <w:tcPr>
            <w:tcW w:w="957" w:type="pct"/>
            <w:tcBorders>
              <w:top w:val="single" w:color="000000" w:sz="4" w:space="0"/>
              <w:left w:val="single" w:color="000000" w:sz="4" w:space="0"/>
              <w:bottom w:val="single" w:color="000000" w:sz="4" w:space="0"/>
              <w:right w:val="single" w:color="000000" w:sz="4" w:space="0"/>
            </w:tcBorders>
            <w:vAlign w:val="center"/>
          </w:tcPr>
          <w:p w14:paraId="3A14F30A">
            <w:pPr>
              <w:widowControl/>
              <w:adjustRightInd w:val="0"/>
              <w:snapToGrid w:val="0"/>
              <w:spacing w:line="360" w:lineRule="exact"/>
              <w:jc w:val="left"/>
              <w:rPr>
                <w:rFonts w:hint="eastAsia" w:ascii="宋体" w:hAnsi="宋体" w:eastAsia="宋体" w:cs="宋体"/>
                <w:bCs/>
                <w:sz w:val="18"/>
                <w:szCs w:val="18"/>
              </w:rPr>
            </w:pPr>
            <w:r>
              <w:rPr>
                <w:rFonts w:hint="eastAsia" w:ascii="宋体" w:hAnsi="宋体" w:eastAsia="宋体" w:cs="宋体"/>
                <w:bCs/>
                <w:sz w:val="18"/>
                <w:szCs w:val="18"/>
              </w:rPr>
              <w:t>打印机接口</w:t>
            </w:r>
          </w:p>
        </w:tc>
        <w:tc>
          <w:tcPr>
            <w:tcW w:w="2525" w:type="pct"/>
            <w:tcBorders>
              <w:top w:val="single" w:color="000000" w:sz="4" w:space="0"/>
              <w:left w:val="single" w:color="000000" w:sz="4" w:space="0"/>
              <w:bottom w:val="single" w:color="000000" w:sz="4" w:space="0"/>
              <w:right w:val="single" w:color="000000" w:sz="4" w:space="0"/>
            </w:tcBorders>
            <w:vAlign w:val="center"/>
          </w:tcPr>
          <w:p w14:paraId="50BC9C80">
            <w:pPr>
              <w:widowControl/>
              <w:adjustRightInd w:val="0"/>
              <w:snapToGrid w:val="0"/>
              <w:spacing w:line="360" w:lineRule="exact"/>
              <w:jc w:val="left"/>
              <w:rPr>
                <w:rFonts w:hint="eastAsia" w:ascii="宋体" w:hAnsi="宋体" w:eastAsia="宋体" w:cs="宋体"/>
                <w:bCs/>
                <w:sz w:val="18"/>
                <w:szCs w:val="18"/>
              </w:rPr>
            </w:pPr>
            <w:r>
              <w:rPr>
                <w:rFonts w:hint="eastAsia" w:ascii="宋体" w:hAnsi="宋体" w:eastAsia="宋体" w:cs="宋体"/>
                <w:bCs/>
                <w:sz w:val="18"/>
                <w:szCs w:val="18"/>
              </w:rPr>
              <w:t>配置标准并行打印接口，可配接爱普生、得实，ESPON LQ-300K+Ⅱ、ESPON LQ-300K、ESPON LQ-680K、ESPON LQ-730K、ESPON LQ-1600K（+）、KX-P1131、KX-P1121、DS-300、2600II等宽行打印机</w:t>
            </w:r>
          </w:p>
        </w:tc>
        <w:tc>
          <w:tcPr>
            <w:tcW w:w="899" w:type="pct"/>
            <w:tcBorders>
              <w:top w:val="single" w:color="000000" w:sz="4" w:space="0"/>
              <w:left w:val="single" w:color="000000" w:sz="4" w:space="0"/>
              <w:bottom w:val="single" w:color="000000" w:sz="4" w:space="0"/>
              <w:right w:val="single" w:color="000000" w:sz="4" w:space="0"/>
            </w:tcBorders>
            <w:vAlign w:val="center"/>
          </w:tcPr>
          <w:p w14:paraId="6ECCBA7B">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eastAsia="宋体" w:cs="宋体"/>
                <w:bCs/>
                <w:sz w:val="18"/>
                <w:szCs w:val="18"/>
              </w:rPr>
            </w:pPr>
          </w:p>
        </w:tc>
      </w:tr>
      <w:tr w14:paraId="422FE1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08294B38">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8</w:t>
            </w:r>
          </w:p>
        </w:tc>
        <w:tc>
          <w:tcPr>
            <w:tcW w:w="957" w:type="pct"/>
            <w:tcBorders>
              <w:top w:val="single" w:color="000000" w:sz="4" w:space="0"/>
              <w:left w:val="single" w:color="000000" w:sz="4" w:space="0"/>
              <w:bottom w:val="single" w:color="000000" w:sz="4" w:space="0"/>
              <w:right w:val="single" w:color="000000" w:sz="4" w:space="0"/>
            </w:tcBorders>
            <w:vAlign w:val="center"/>
          </w:tcPr>
          <w:p w14:paraId="333769ED">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RS232/RS485接口</w:t>
            </w:r>
          </w:p>
        </w:tc>
        <w:tc>
          <w:tcPr>
            <w:tcW w:w="2525" w:type="pct"/>
            <w:tcBorders>
              <w:top w:val="single" w:color="000000" w:sz="4" w:space="0"/>
              <w:left w:val="single" w:color="000000" w:sz="4" w:space="0"/>
              <w:bottom w:val="single" w:color="000000" w:sz="4" w:space="0"/>
              <w:right w:val="single" w:color="000000" w:sz="4" w:space="0"/>
            </w:tcBorders>
            <w:vAlign w:val="center"/>
          </w:tcPr>
          <w:p w14:paraId="6FE786FB">
            <w:pPr>
              <w:widowControl/>
              <w:adjustRightInd w:val="0"/>
              <w:snapToGrid w:val="0"/>
              <w:spacing w:line="360" w:lineRule="exact"/>
              <w:jc w:val="left"/>
              <w:rPr>
                <w:rFonts w:hint="eastAsia" w:ascii="宋体" w:hAnsi="宋体" w:eastAsia="宋体" w:cs="宋体"/>
                <w:bCs/>
                <w:sz w:val="18"/>
                <w:szCs w:val="18"/>
              </w:rPr>
            </w:pPr>
            <w:r>
              <w:rPr>
                <w:rFonts w:hint="eastAsia" w:ascii="宋体" w:hAnsi="宋体" w:eastAsia="宋体" w:cs="宋体"/>
                <w:bCs/>
                <w:sz w:val="18"/>
                <w:szCs w:val="18"/>
              </w:rPr>
              <w:t>PC通讯接口，连接电脑，支持RS232方式和RS485方式，可选择连续方式和Modbus指令方式，波特率600/1200/2400/4800/9600/19200可选</w:t>
            </w:r>
          </w:p>
        </w:tc>
        <w:tc>
          <w:tcPr>
            <w:tcW w:w="899" w:type="pct"/>
            <w:tcBorders>
              <w:top w:val="single" w:color="000000" w:sz="4" w:space="0"/>
              <w:left w:val="single" w:color="000000" w:sz="4" w:space="0"/>
              <w:bottom w:val="single" w:color="000000" w:sz="4" w:space="0"/>
              <w:right w:val="single" w:color="000000" w:sz="4" w:space="0"/>
            </w:tcBorders>
            <w:vAlign w:val="center"/>
          </w:tcPr>
          <w:p w14:paraId="20323BE1">
            <w:pPr>
              <w:spacing w:line="500" w:lineRule="exact"/>
              <w:jc w:val="left"/>
              <w:rPr>
                <w:rFonts w:hint="eastAsia" w:ascii="宋体" w:hAnsi="宋体" w:eastAsia="宋体" w:cs="宋体"/>
                <w:bCs/>
                <w:sz w:val="18"/>
                <w:szCs w:val="18"/>
              </w:rPr>
            </w:pPr>
          </w:p>
        </w:tc>
      </w:tr>
      <w:tr w14:paraId="36A474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41E7353D">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lang w:val="en-US" w:eastAsia="zh-CN"/>
              </w:rPr>
              <w:t>9</w:t>
            </w:r>
          </w:p>
        </w:tc>
        <w:tc>
          <w:tcPr>
            <w:tcW w:w="957" w:type="pct"/>
            <w:tcBorders>
              <w:top w:val="single" w:color="000000" w:sz="4" w:space="0"/>
              <w:left w:val="single" w:color="000000" w:sz="4" w:space="0"/>
              <w:bottom w:val="single" w:color="000000" w:sz="4" w:space="0"/>
              <w:right w:val="single" w:color="000000" w:sz="4" w:space="0"/>
            </w:tcBorders>
            <w:vAlign w:val="center"/>
          </w:tcPr>
          <w:p w14:paraId="5DF2328F">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以太网接口</w:t>
            </w:r>
          </w:p>
        </w:tc>
        <w:tc>
          <w:tcPr>
            <w:tcW w:w="2525" w:type="pct"/>
            <w:tcBorders>
              <w:top w:val="single" w:color="000000" w:sz="4" w:space="0"/>
              <w:left w:val="single" w:color="000000" w:sz="4" w:space="0"/>
              <w:bottom w:val="single" w:color="000000" w:sz="4" w:space="0"/>
              <w:right w:val="single" w:color="000000" w:sz="4" w:space="0"/>
            </w:tcBorders>
            <w:vAlign w:val="center"/>
          </w:tcPr>
          <w:p w14:paraId="2F8A8A24">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支持远程通讯</w:t>
            </w:r>
          </w:p>
        </w:tc>
        <w:tc>
          <w:tcPr>
            <w:tcW w:w="899" w:type="pct"/>
            <w:tcBorders>
              <w:top w:val="single" w:color="000000" w:sz="4" w:space="0"/>
              <w:left w:val="single" w:color="000000" w:sz="4" w:space="0"/>
              <w:bottom w:val="single" w:color="000000" w:sz="4" w:space="0"/>
              <w:right w:val="single" w:color="000000" w:sz="4" w:space="0"/>
            </w:tcBorders>
            <w:vAlign w:val="center"/>
          </w:tcPr>
          <w:p w14:paraId="70E25A05">
            <w:pPr>
              <w:spacing w:line="500" w:lineRule="exact"/>
              <w:jc w:val="left"/>
              <w:rPr>
                <w:rFonts w:hint="eastAsia" w:ascii="宋体" w:hAnsi="宋体" w:eastAsia="宋体" w:cs="宋体"/>
                <w:bCs/>
                <w:sz w:val="18"/>
                <w:szCs w:val="18"/>
              </w:rPr>
            </w:pPr>
          </w:p>
        </w:tc>
      </w:tr>
      <w:tr w14:paraId="10910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5E271698">
            <w:pPr>
              <w:spacing w:line="500" w:lineRule="exact"/>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10</w:t>
            </w:r>
          </w:p>
        </w:tc>
        <w:tc>
          <w:tcPr>
            <w:tcW w:w="957" w:type="pct"/>
            <w:tcBorders>
              <w:top w:val="single" w:color="000000" w:sz="4" w:space="0"/>
              <w:left w:val="single" w:color="000000" w:sz="4" w:space="0"/>
              <w:bottom w:val="single" w:color="000000" w:sz="4" w:space="0"/>
              <w:right w:val="single" w:color="000000" w:sz="4" w:space="0"/>
            </w:tcBorders>
            <w:vAlign w:val="center"/>
          </w:tcPr>
          <w:p w14:paraId="1C9AA548">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USB接口</w:t>
            </w:r>
          </w:p>
        </w:tc>
        <w:tc>
          <w:tcPr>
            <w:tcW w:w="2525" w:type="pct"/>
            <w:tcBorders>
              <w:top w:val="single" w:color="000000" w:sz="4" w:space="0"/>
              <w:left w:val="single" w:color="000000" w:sz="4" w:space="0"/>
              <w:bottom w:val="single" w:color="000000" w:sz="4" w:space="0"/>
              <w:right w:val="single" w:color="000000" w:sz="4" w:space="0"/>
            </w:tcBorders>
            <w:vAlign w:val="center"/>
          </w:tcPr>
          <w:p w14:paraId="73C36962">
            <w:pPr>
              <w:widowControl/>
              <w:adjustRightInd w:val="0"/>
              <w:snapToGrid w:val="0"/>
              <w:spacing w:line="360" w:lineRule="exact"/>
              <w:jc w:val="left"/>
              <w:rPr>
                <w:rFonts w:hint="eastAsia" w:ascii="宋体" w:hAnsi="宋体" w:eastAsia="宋体" w:cs="宋体"/>
                <w:bCs/>
                <w:sz w:val="18"/>
                <w:szCs w:val="18"/>
              </w:rPr>
            </w:pPr>
            <w:r>
              <w:rPr>
                <w:rFonts w:hint="eastAsia" w:ascii="宋体" w:hAnsi="宋体" w:eastAsia="宋体" w:cs="宋体"/>
                <w:bCs/>
                <w:sz w:val="18"/>
                <w:szCs w:val="18"/>
              </w:rPr>
              <w:t>支持4G以下的U盘，通过U盘读取仪表参数、打印记录、车号皮重记录和超载记录</w:t>
            </w:r>
          </w:p>
        </w:tc>
        <w:tc>
          <w:tcPr>
            <w:tcW w:w="899" w:type="pct"/>
            <w:tcBorders>
              <w:top w:val="single" w:color="000000" w:sz="4" w:space="0"/>
              <w:left w:val="single" w:color="000000" w:sz="4" w:space="0"/>
              <w:bottom w:val="single" w:color="000000" w:sz="4" w:space="0"/>
              <w:right w:val="single" w:color="000000" w:sz="4" w:space="0"/>
            </w:tcBorders>
            <w:vAlign w:val="center"/>
          </w:tcPr>
          <w:p w14:paraId="2AAED794">
            <w:pPr>
              <w:spacing w:line="500" w:lineRule="exact"/>
              <w:jc w:val="left"/>
              <w:rPr>
                <w:rFonts w:hint="eastAsia" w:ascii="宋体" w:hAnsi="宋体" w:eastAsia="宋体" w:cs="宋体"/>
                <w:bCs/>
                <w:sz w:val="18"/>
                <w:szCs w:val="18"/>
              </w:rPr>
            </w:pPr>
          </w:p>
        </w:tc>
      </w:tr>
      <w:tr w14:paraId="64D2F6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28150693">
            <w:pPr>
              <w:spacing w:line="500" w:lineRule="exact"/>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11</w:t>
            </w:r>
          </w:p>
        </w:tc>
        <w:tc>
          <w:tcPr>
            <w:tcW w:w="957" w:type="pct"/>
            <w:tcBorders>
              <w:top w:val="single" w:color="000000" w:sz="4" w:space="0"/>
              <w:left w:val="single" w:color="000000" w:sz="4" w:space="0"/>
              <w:bottom w:val="single" w:color="000000" w:sz="4" w:space="0"/>
              <w:right w:val="single" w:color="000000" w:sz="4" w:space="0"/>
            </w:tcBorders>
            <w:vAlign w:val="center"/>
          </w:tcPr>
          <w:p w14:paraId="49A9EB20">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键盘</w:t>
            </w:r>
          </w:p>
        </w:tc>
        <w:tc>
          <w:tcPr>
            <w:tcW w:w="2525" w:type="pct"/>
            <w:tcBorders>
              <w:top w:val="single" w:color="000000" w:sz="4" w:space="0"/>
              <w:left w:val="single" w:color="000000" w:sz="4" w:space="0"/>
              <w:bottom w:val="single" w:color="000000" w:sz="4" w:space="0"/>
              <w:right w:val="single" w:color="000000" w:sz="4" w:space="0"/>
            </w:tcBorders>
            <w:vAlign w:val="center"/>
          </w:tcPr>
          <w:p w14:paraId="16AE0D88">
            <w:pPr>
              <w:widowControl/>
              <w:adjustRightInd w:val="0"/>
              <w:snapToGrid w:val="0"/>
              <w:spacing w:line="360" w:lineRule="exact"/>
              <w:jc w:val="left"/>
              <w:rPr>
                <w:rFonts w:hint="eastAsia" w:ascii="宋体" w:hAnsi="宋体" w:eastAsia="宋体" w:cs="宋体"/>
                <w:bCs/>
                <w:sz w:val="18"/>
                <w:szCs w:val="18"/>
              </w:rPr>
            </w:pPr>
            <w:r>
              <w:rPr>
                <w:rFonts w:hint="eastAsia" w:ascii="宋体" w:hAnsi="宋体" w:eastAsia="宋体" w:cs="宋体"/>
                <w:bCs/>
                <w:sz w:val="18"/>
                <w:szCs w:val="18"/>
              </w:rPr>
              <w:t>24个薄膜按键</w:t>
            </w:r>
          </w:p>
        </w:tc>
        <w:tc>
          <w:tcPr>
            <w:tcW w:w="899" w:type="pct"/>
            <w:tcBorders>
              <w:top w:val="single" w:color="000000" w:sz="4" w:space="0"/>
              <w:left w:val="single" w:color="000000" w:sz="4" w:space="0"/>
              <w:bottom w:val="single" w:color="000000" w:sz="4" w:space="0"/>
              <w:right w:val="single" w:color="000000" w:sz="4" w:space="0"/>
            </w:tcBorders>
            <w:vAlign w:val="center"/>
          </w:tcPr>
          <w:p w14:paraId="2E49EB41">
            <w:pPr>
              <w:spacing w:line="500" w:lineRule="exact"/>
              <w:jc w:val="left"/>
              <w:rPr>
                <w:rFonts w:hint="eastAsia" w:ascii="宋体" w:hAnsi="宋体" w:eastAsia="宋体" w:cs="宋体"/>
                <w:bCs/>
                <w:sz w:val="18"/>
                <w:szCs w:val="18"/>
              </w:rPr>
            </w:pPr>
          </w:p>
        </w:tc>
      </w:tr>
      <w:tr w14:paraId="2E7FF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0C373276">
            <w:pPr>
              <w:spacing w:line="500" w:lineRule="exact"/>
              <w:jc w:val="center"/>
              <w:rPr>
                <w:rFonts w:hint="default" w:ascii="宋体" w:hAnsi="宋体" w:eastAsia="宋体" w:cs="宋体"/>
                <w:bCs/>
                <w:sz w:val="18"/>
                <w:szCs w:val="18"/>
                <w:lang w:val="en-US" w:eastAsia="zh-CN"/>
              </w:rPr>
            </w:pPr>
            <w:r>
              <w:rPr>
                <w:rFonts w:hint="eastAsia" w:ascii="宋体" w:hAnsi="宋体" w:eastAsia="宋体" w:cs="宋体"/>
                <w:bCs/>
                <w:sz w:val="18"/>
                <w:szCs w:val="18"/>
                <w:lang w:val="en-US" w:eastAsia="zh-CN"/>
              </w:rPr>
              <w:t>12</w:t>
            </w:r>
          </w:p>
        </w:tc>
        <w:tc>
          <w:tcPr>
            <w:tcW w:w="957" w:type="pct"/>
            <w:tcBorders>
              <w:top w:val="single" w:color="000000" w:sz="4" w:space="0"/>
              <w:left w:val="single" w:color="000000" w:sz="4" w:space="0"/>
              <w:bottom w:val="single" w:color="000000" w:sz="4" w:space="0"/>
              <w:right w:val="single" w:color="000000" w:sz="4" w:space="0"/>
            </w:tcBorders>
            <w:vAlign w:val="center"/>
          </w:tcPr>
          <w:p w14:paraId="3C97A080">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时钟</w:t>
            </w:r>
          </w:p>
        </w:tc>
        <w:tc>
          <w:tcPr>
            <w:tcW w:w="2525" w:type="pct"/>
            <w:tcBorders>
              <w:top w:val="single" w:color="000000" w:sz="4" w:space="0"/>
              <w:left w:val="single" w:color="000000" w:sz="4" w:space="0"/>
              <w:bottom w:val="single" w:color="000000" w:sz="4" w:space="0"/>
              <w:right w:val="single" w:color="000000" w:sz="4" w:space="0"/>
            </w:tcBorders>
            <w:vAlign w:val="center"/>
          </w:tcPr>
          <w:p w14:paraId="1FF51ADB">
            <w:pPr>
              <w:widowControl/>
              <w:adjustRightInd w:val="0"/>
              <w:snapToGrid w:val="0"/>
              <w:spacing w:line="360" w:lineRule="exact"/>
              <w:jc w:val="left"/>
              <w:rPr>
                <w:rFonts w:hint="eastAsia" w:ascii="宋体" w:hAnsi="宋体" w:eastAsia="宋体" w:cs="宋体"/>
                <w:bCs/>
                <w:sz w:val="18"/>
                <w:szCs w:val="18"/>
              </w:rPr>
            </w:pPr>
            <w:r>
              <w:rPr>
                <w:rFonts w:hint="eastAsia" w:ascii="宋体" w:hAnsi="宋体" w:eastAsia="宋体" w:cs="宋体"/>
                <w:bCs/>
                <w:sz w:val="18"/>
                <w:szCs w:val="18"/>
              </w:rPr>
              <w:t>可显示年、月、日、时、分、秒、星期，并自动闰年、闰月</w:t>
            </w:r>
          </w:p>
        </w:tc>
        <w:tc>
          <w:tcPr>
            <w:tcW w:w="899" w:type="pct"/>
            <w:tcBorders>
              <w:top w:val="single" w:color="000000" w:sz="4" w:space="0"/>
              <w:left w:val="single" w:color="000000" w:sz="4" w:space="0"/>
              <w:bottom w:val="single" w:color="000000" w:sz="4" w:space="0"/>
              <w:right w:val="single" w:color="000000" w:sz="4" w:space="0"/>
            </w:tcBorders>
            <w:vAlign w:val="center"/>
          </w:tcPr>
          <w:p w14:paraId="1913FA8F">
            <w:pPr>
              <w:spacing w:line="500" w:lineRule="exact"/>
              <w:jc w:val="left"/>
              <w:rPr>
                <w:rFonts w:hint="eastAsia" w:ascii="宋体" w:hAnsi="宋体" w:eastAsia="宋体" w:cs="宋体"/>
                <w:bCs/>
                <w:sz w:val="18"/>
                <w:szCs w:val="18"/>
              </w:rPr>
            </w:pPr>
          </w:p>
        </w:tc>
      </w:tr>
      <w:tr w14:paraId="62402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7F8798CC">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rPr>
              <w:t>1</w:t>
            </w:r>
            <w:r>
              <w:rPr>
                <w:rFonts w:hint="eastAsia" w:ascii="宋体" w:hAnsi="宋体" w:eastAsia="宋体" w:cs="宋体"/>
                <w:bCs/>
                <w:sz w:val="18"/>
                <w:szCs w:val="18"/>
                <w:lang w:val="en-US" w:eastAsia="zh-CN"/>
              </w:rPr>
              <w:t>3</w:t>
            </w:r>
          </w:p>
        </w:tc>
        <w:tc>
          <w:tcPr>
            <w:tcW w:w="957" w:type="pct"/>
            <w:tcBorders>
              <w:top w:val="single" w:color="000000" w:sz="4" w:space="0"/>
              <w:left w:val="single" w:color="000000" w:sz="4" w:space="0"/>
              <w:bottom w:val="single" w:color="000000" w:sz="4" w:space="0"/>
              <w:right w:val="single" w:color="000000" w:sz="4" w:space="0"/>
            </w:tcBorders>
            <w:vAlign w:val="center"/>
          </w:tcPr>
          <w:p w14:paraId="0FFDD04F">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数据贮存</w:t>
            </w:r>
          </w:p>
        </w:tc>
        <w:tc>
          <w:tcPr>
            <w:tcW w:w="2525" w:type="pct"/>
            <w:tcBorders>
              <w:top w:val="single" w:color="000000" w:sz="4" w:space="0"/>
              <w:left w:val="single" w:color="000000" w:sz="4" w:space="0"/>
              <w:bottom w:val="single" w:color="000000" w:sz="4" w:space="0"/>
              <w:right w:val="single" w:color="000000" w:sz="4" w:space="0"/>
            </w:tcBorders>
            <w:vAlign w:val="center"/>
          </w:tcPr>
          <w:p w14:paraId="172D2677">
            <w:pPr>
              <w:widowControl/>
              <w:adjustRightInd w:val="0"/>
              <w:snapToGrid w:val="0"/>
              <w:spacing w:line="360" w:lineRule="exact"/>
              <w:jc w:val="left"/>
              <w:rPr>
                <w:rFonts w:hint="eastAsia" w:ascii="宋体" w:hAnsi="宋体" w:eastAsia="宋体" w:cs="宋体"/>
                <w:bCs/>
                <w:sz w:val="18"/>
                <w:szCs w:val="18"/>
              </w:rPr>
            </w:pPr>
            <w:r>
              <w:rPr>
                <w:rFonts w:hint="eastAsia" w:ascii="宋体" w:hAnsi="宋体" w:eastAsia="宋体" w:cs="宋体"/>
                <w:bCs/>
                <w:sz w:val="18"/>
                <w:szCs w:val="18"/>
              </w:rPr>
              <w:t>可贮存1000组车号皮重，5000组最新称重记录，300最新不完整称重记录，n组最新秤台过载记录。</w:t>
            </w:r>
          </w:p>
        </w:tc>
        <w:tc>
          <w:tcPr>
            <w:tcW w:w="899" w:type="pct"/>
            <w:tcBorders>
              <w:top w:val="single" w:color="000000" w:sz="4" w:space="0"/>
              <w:left w:val="single" w:color="000000" w:sz="4" w:space="0"/>
              <w:bottom w:val="single" w:color="000000" w:sz="4" w:space="0"/>
              <w:right w:val="single" w:color="000000" w:sz="4" w:space="0"/>
            </w:tcBorders>
            <w:vAlign w:val="center"/>
          </w:tcPr>
          <w:p w14:paraId="3A296CD0">
            <w:pPr>
              <w:spacing w:line="500" w:lineRule="exact"/>
              <w:jc w:val="left"/>
              <w:rPr>
                <w:rFonts w:hint="eastAsia" w:ascii="宋体" w:hAnsi="宋体" w:eastAsia="宋体" w:cs="宋体"/>
                <w:bCs/>
                <w:sz w:val="18"/>
                <w:szCs w:val="18"/>
              </w:rPr>
            </w:pPr>
          </w:p>
        </w:tc>
      </w:tr>
      <w:tr w14:paraId="0D41F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527C47BB">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rPr>
              <w:t>1</w:t>
            </w:r>
            <w:r>
              <w:rPr>
                <w:rFonts w:hint="eastAsia" w:ascii="宋体" w:hAnsi="宋体" w:eastAsia="宋体" w:cs="宋体"/>
                <w:bCs/>
                <w:sz w:val="18"/>
                <w:szCs w:val="18"/>
                <w:lang w:val="en-US" w:eastAsia="zh-CN"/>
              </w:rPr>
              <w:t>4</w:t>
            </w:r>
          </w:p>
        </w:tc>
        <w:tc>
          <w:tcPr>
            <w:tcW w:w="957" w:type="pct"/>
            <w:tcBorders>
              <w:top w:val="single" w:color="000000" w:sz="4" w:space="0"/>
              <w:left w:val="single" w:color="000000" w:sz="4" w:space="0"/>
              <w:bottom w:val="single" w:color="000000" w:sz="4" w:space="0"/>
              <w:right w:val="single" w:color="000000" w:sz="4" w:space="0"/>
            </w:tcBorders>
            <w:vAlign w:val="center"/>
          </w:tcPr>
          <w:p w14:paraId="04D8C0F5">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使用温度</w:t>
            </w:r>
          </w:p>
        </w:tc>
        <w:tc>
          <w:tcPr>
            <w:tcW w:w="2525" w:type="pct"/>
            <w:tcBorders>
              <w:top w:val="single" w:color="000000" w:sz="4" w:space="0"/>
              <w:left w:val="single" w:color="000000" w:sz="4" w:space="0"/>
              <w:bottom w:val="single" w:color="000000" w:sz="4" w:space="0"/>
              <w:right w:val="single" w:color="000000" w:sz="4" w:space="0"/>
            </w:tcBorders>
            <w:vAlign w:val="center"/>
          </w:tcPr>
          <w:p w14:paraId="0A6F1953">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-10℃～40℃</w:t>
            </w:r>
          </w:p>
        </w:tc>
        <w:tc>
          <w:tcPr>
            <w:tcW w:w="899" w:type="pct"/>
            <w:tcBorders>
              <w:top w:val="single" w:color="000000" w:sz="4" w:space="0"/>
              <w:left w:val="single" w:color="000000" w:sz="4" w:space="0"/>
              <w:bottom w:val="single" w:color="000000" w:sz="4" w:space="0"/>
              <w:right w:val="single" w:color="000000" w:sz="4" w:space="0"/>
            </w:tcBorders>
            <w:vAlign w:val="center"/>
          </w:tcPr>
          <w:p w14:paraId="632B3FF8">
            <w:pPr>
              <w:spacing w:line="500" w:lineRule="exact"/>
              <w:jc w:val="left"/>
              <w:rPr>
                <w:rFonts w:hint="eastAsia" w:ascii="宋体" w:hAnsi="宋体" w:eastAsia="宋体" w:cs="宋体"/>
                <w:bCs/>
                <w:sz w:val="18"/>
                <w:szCs w:val="18"/>
              </w:rPr>
            </w:pPr>
          </w:p>
        </w:tc>
      </w:tr>
      <w:tr w14:paraId="4EA4E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37A66992">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rPr>
              <w:t>1</w:t>
            </w:r>
            <w:r>
              <w:rPr>
                <w:rFonts w:hint="eastAsia" w:ascii="宋体" w:hAnsi="宋体" w:eastAsia="宋体" w:cs="宋体"/>
                <w:bCs/>
                <w:sz w:val="18"/>
                <w:szCs w:val="18"/>
                <w:lang w:val="en-US" w:eastAsia="zh-CN"/>
              </w:rPr>
              <w:t>5</w:t>
            </w:r>
          </w:p>
        </w:tc>
        <w:tc>
          <w:tcPr>
            <w:tcW w:w="957" w:type="pct"/>
            <w:tcBorders>
              <w:top w:val="single" w:color="000000" w:sz="4" w:space="0"/>
              <w:left w:val="single" w:color="000000" w:sz="4" w:space="0"/>
              <w:bottom w:val="single" w:color="000000" w:sz="4" w:space="0"/>
              <w:right w:val="single" w:color="000000" w:sz="4" w:space="0"/>
            </w:tcBorders>
            <w:vAlign w:val="center"/>
          </w:tcPr>
          <w:p w14:paraId="062CD29F">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储运温度</w:t>
            </w:r>
          </w:p>
        </w:tc>
        <w:tc>
          <w:tcPr>
            <w:tcW w:w="2525" w:type="pct"/>
            <w:tcBorders>
              <w:top w:val="single" w:color="000000" w:sz="4" w:space="0"/>
              <w:left w:val="single" w:color="000000" w:sz="4" w:space="0"/>
              <w:bottom w:val="single" w:color="000000" w:sz="4" w:space="0"/>
              <w:right w:val="single" w:color="000000" w:sz="4" w:space="0"/>
            </w:tcBorders>
            <w:vAlign w:val="center"/>
          </w:tcPr>
          <w:p w14:paraId="0098C34E">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-25℃～55℃</w:t>
            </w:r>
          </w:p>
        </w:tc>
        <w:tc>
          <w:tcPr>
            <w:tcW w:w="899" w:type="pct"/>
            <w:tcBorders>
              <w:top w:val="single" w:color="000000" w:sz="4" w:space="0"/>
              <w:left w:val="single" w:color="000000" w:sz="4" w:space="0"/>
              <w:bottom w:val="single" w:color="000000" w:sz="4" w:space="0"/>
              <w:right w:val="single" w:color="000000" w:sz="4" w:space="0"/>
            </w:tcBorders>
            <w:vAlign w:val="center"/>
          </w:tcPr>
          <w:p w14:paraId="7F893AE2">
            <w:pPr>
              <w:spacing w:line="500" w:lineRule="exact"/>
              <w:jc w:val="left"/>
              <w:rPr>
                <w:rFonts w:hint="eastAsia" w:ascii="宋体" w:hAnsi="宋体" w:eastAsia="宋体" w:cs="宋体"/>
                <w:bCs/>
                <w:sz w:val="18"/>
                <w:szCs w:val="18"/>
              </w:rPr>
            </w:pPr>
          </w:p>
        </w:tc>
      </w:tr>
      <w:tr w14:paraId="6C89E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2875BFB1">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rPr>
              <w:t>1</w:t>
            </w:r>
            <w:r>
              <w:rPr>
                <w:rFonts w:hint="eastAsia" w:ascii="宋体" w:hAnsi="宋体" w:eastAsia="宋体" w:cs="宋体"/>
                <w:bCs/>
                <w:sz w:val="18"/>
                <w:szCs w:val="18"/>
                <w:lang w:val="en-US" w:eastAsia="zh-CN"/>
              </w:rPr>
              <w:t>6</w:t>
            </w:r>
          </w:p>
        </w:tc>
        <w:tc>
          <w:tcPr>
            <w:tcW w:w="957" w:type="pct"/>
            <w:tcBorders>
              <w:top w:val="single" w:color="000000" w:sz="4" w:space="0"/>
              <w:left w:val="single" w:color="000000" w:sz="4" w:space="0"/>
              <w:bottom w:val="single" w:color="000000" w:sz="4" w:space="0"/>
              <w:right w:val="single" w:color="000000" w:sz="4" w:space="0"/>
            </w:tcBorders>
            <w:vAlign w:val="center"/>
          </w:tcPr>
          <w:p w14:paraId="4847BDD2">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相对湿度</w:t>
            </w:r>
          </w:p>
        </w:tc>
        <w:tc>
          <w:tcPr>
            <w:tcW w:w="2525" w:type="pct"/>
            <w:tcBorders>
              <w:top w:val="single" w:color="000000" w:sz="4" w:space="0"/>
              <w:left w:val="single" w:color="000000" w:sz="4" w:space="0"/>
              <w:bottom w:val="single" w:color="000000" w:sz="4" w:space="0"/>
              <w:right w:val="single" w:color="000000" w:sz="4" w:space="0"/>
            </w:tcBorders>
            <w:vAlign w:val="center"/>
          </w:tcPr>
          <w:p w14:paraId="0349F6F0">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≤85%（RH）</w:t>
            </w:r>
          </w:p>
        </w:tc>
        <w:tc>
          <w:tcPr>
            <w:tcW w:w="899" w:type="pct"/>
            <w:tcBorders>
              <w:top w:val="single" w:color="000000" w:sz="4" w:space="0"/>
              <w:left w:val="single" w:color="000000" w:sz="4" w:space="0"/>
              <w:bottom w:val="single" w:color="000000" w:sz="4" w:space="0"/>
              <w:right w:val="single" w:color="000000" w:sz="4" w:space="0"/>
            </w:tcBorders>
            <w:vAlign w:val="center"/>
          </w:tcPr>
          <w:p w14:paraId="4792F9E7">
            <w:pPr>
              <w:spacing w:line="500" w:lineRule="exact"/>
              <w:jc w:val="left"/>
              <w:rPr>
                <w:rFonts w:hint="eastAsia" w:ascii="宋体" w:hAnsi="宋体" w:eastAsia="宋体" w:cs="宋体"/>
                <w:bCs/>
                <w:sz w:val="18"/>
                <w:szCs w:val="18"/>
              </w:rPr>
            </w:pPr>
          </w:p>
        </w:tc>
      </w:tr>
      <w:tr w14:paraId="5B3431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17" w:type="pct"/>
            <w:tcBorders>
              <w:top w:val="single" w:color="000000" w:sz="4" w:space="0"/>
              <w:left w:val="single" w:color="000000" w:sz="4" w:space="0"/>
              <w:bottom w:val="single" w:color="000000" w:sz="4" w:space="0"/>
              <w:right w:val="single" w:color="000000" w:sz="4" w:space="0"/>
            </w:tcBorders>
            <w:vAlign w:val="center"/>
          </w:tcPr>
          <w:p w14:paraId="025276E6">
            <w:pPr>
              <w:spacing w:line="500" w:lineRule="exact"/>
              <w:jc w:val="center"/>
              <w:rPr>
                <w:rFonts w:hint="eastAsia" w:ascii="宋体" w:hAnsi="宋体" w:eastAsia="宋体" w:cs="宋体"/>
                <w:bCs/>
                <w:sz w:val="18"/>
                <w:szCs w:val="18"/>
                <w:lang w:eastAsia="zh-CN"/>
              </w:rPr>
            </w:pPr>
            <w:r>
              <w:rPr>
                <w:rFonts w:hint="eastAsia" w:ascii="宋体" w:hAnsi="宋体" w:eastAsia="宋体" w:cs="宋体"/>
                <w:bCs/>
                <w:sz w:val="18"/>
                <w:szCs w:val="18"/>
              </w:rPr>
              <w:t>1</w:t>
            </w:r>
            <w:r>
              <w:rPr>
                <w:rFonts w:hint="eastAsia" w:ascii="宋体" w:hAnsi="宋体" w:eastAsia="宋体" w:cs="宋体"/>
                <w:bCs/>
                <w:sz w:val="18"/>
                <w:szCs w:val="18"/>
                <w:lang w:val="en-US" w:eastAsia="zh-CN"/>
              </w:rPr>
              <w:t>7</w:t>
            </w:r>
          </w:p>
        </w:tc>
        <w:tc>
          <w:tcPr>
            <w:tcW w:w="957" w:type="pct"/>
            <w:tcBorders>
              <w:top w:val="single" w:color="000000" w:sz="4" w:space="0"/>
              <w:left w:val="single" w:color="000000" w:sz="4" w:space="0"/>
              <w:bottom w:val="single" w:color="000000" w:sz="4" w:space="0"/>
              <w:right w:val="single" w:color="000000" w:sz="4" w:space="0"/>
            </w:tcBorders>
            <w:vAlign w:val="center"/>
          </w:tcPr>
          <w:p w14:paraId="30A7F759">
            <w:pPr>
              <w:spacing w:line="500" w:lineRule="exact"/>
              <w:jc w:val="center"/>
              <w:rPr>
                <w:rFonts w:hint="eastAsia" w:ascii="宋体" w:hAnsi="宋体" w:eastAsia="宋体" w:cs="宋体"/>
                <w:bCs/>
                <w:sz w:val="18"/>
                <w:szCs w:val="18"/>
              </w:rPr>
            </w:pPr>
            <w:r>
              <w:rPr>
                <w:rFonts w:hint="eastAsia" w:ascii="宋体" w:hAnsi="宋体" w:eastAsia="宋体" w:cs="宋体"/>
                <w:bCs/>
                <w:sz w:val="18"/>
                <w:szCs w:val="18"/>
              </w:rPr>
              <w:t>其它要求</w:t>
            </w:r>
          </w:p>
        </w:tc>
        <w:tc>
          <w:tcPr>
            <w:tcW w:w="2525" w:type="pct"/>
            <w:tcBorders>
              <w:top w:val="single" w:color="000000" w:sz="4" w:space="0"/>
              <w:left w:val="single" w:color="000000" w:sz="4" w:space="0"/>
              <w:bottom w:val="single" w:color="000000" w:sz="4" w:space="0"/>
              <w:right w:val="single" w:color="000000" w:sz="4" w:space="0"/>
            </w:tcBorders>
            <w:vAlign w:val="center"/>
          </w:tcPr>
          <w:p w14:paraId="36C8E81A">
            <w:pPr>
              <w:spacing w:line="500" w:lineRule="exact"/>
              <w:jc w:val="left"/>
              <w:rPr>
                <w:rFonts w:hint="eastAsia" w:ascii="宋体" w:hAnsi="宋体" w:eastAsia="宋体" w:cs="宋体"/>
                <w:bCs/>
                <w:sz w:val="18"/>
                <w:szCs w:val="18"/>
              </w:rPr>
            </w:pPr>
            <w:r>
              <w:rPr>
                <w:rFonts w:hint="eastAsia" w:ascii="宋体" w:hAnsi="宋体" w:eastAsia="宋体" w:cs="宋体"/>
                <w:bCs/>
                <w:sz w:val="18"/>
                <w:szCs w:val="18"/>
              </w:rPr>
              <w:t>具有防作弊、防遥控、云加密功能</w:t>
            </w:r>
          </w:p>
        </w:tc>
        <w:tc>
          <w:tcPr>
            <w:tcW w:w="899" w:type="pct"/>
            <w:tcBorders>
              <w:top w:val="single" w:color="000000" w:sz="4" w:space="0"/>
              <w:left w:val="single" w:color="000000" w:sz="4" w:space="0"/>
              <w:bottom w:val="single" w:color="000000" w:sz="4" w:space="0"/>
              <w:right w:val="single" w:color="000000" w:sz="4" w:space="0"/>
            </w:tcBorders>
            <w:vAlign w:val="center"/>
          </w:tcPr>
          <w:p w14:paraId="547D04F6">
            <w:pPr>
              <w:spacing w:line="500" w:lineRule="exact"/>
              <w:jc w:val="left"/>
              <w:rPr>
                <w:rFonts w:hint="eastAsia" w:ascii="宋体" w:hAnsi="宋体" w:eastAsia="宋体" w:cs="宋体"/>
                <w:bCs/>
                <w:sz w:val="18"/>
                <w:szCs w:val="18"/>
              </w:rPr>
            </w:pPr>
          </w:p>
        </w:tc>
      </w:tr>
    </w:tbl>
    <w:p w14:paraId="7C505794">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3.2.3.4 数字式接线盒</w:t>
      </w:r>
    </w:p>
    <w:p w14:paraId="313CB1BE">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采用全不锈钢、防尘、防水淋、防潮补偿接线盒。为防止信号线的破损及受潮，从传感器至接线盒的信号线全部采用管线连接，所有信号线不得有裸露。</w:t>
      </w:r>
    </w:p>
    <w:p w14:paraId="007B8BF0">
      <w:pPr>
        <w:spacing w:line="500" w:lineRule="exact"/>
        <w:ind w:firstLine="480" w:firstLineChars="200"/>
        <w:rPr>
          <w:rFonts w:hint="eastAsia" w:ascii="宋体" w:hAnsi="宋体" w:eastAsia="宋体" w:cs="宋体"/>
          <w:bCs/>
          <w:sz w:val="24"/>
        </w:rPr>
      </w:pPr>
      <w:r>
        <w:rPr>
          <w:rFonts w:hint="eastAsia" w:ascii="宋体" w:hAnsi="宋体" w:eastAsia="宋体" w:cs="宋体"/>
          <w:bCs/>
          <w:sz w:val="24"/>
        </w:rPr>
        <w:t>3.2.3.5其它设备：能满足使用需要的配件。</w:t>
      </w:r>
    </w:p>
    <w:p w14:paraId="1EB4155C">
      <w:pPr>
        <w:spacing w:line="500" w:lineRule="exact"/>
        <w:ind w:firstLine="480" w:firstLineChars="200"/>
      </w:pPr>
      <w:r>
        <w:rPr>
          <w:rFonts w:hint="eastAsia" w:ascii="宋体" w:hAnsi="宋体" w:eastAsia="宋体" w:cs="宋体"/>
          <w:bCs/>
          <w:sz w:val="24"/>
        </w:rPr>
        <w:t>3.2.3.6提供电子汽车衡所涉及的施工图纸。由乙方提供相应的预埋承载钢板、限位撞板，限位器及护边角铁。</w:t>
      </w:r>
    </w:p>
    <w:p w14:paraId="7DA4337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3.3</w:t>
      </w:r>
      <w:r>
        <w:rPr>
          <w:rFonts w:ascii="Times New Roman" w:hAnsi="Times New Roman" w:eastAsia="宋体" w:cs="Times New Roman"/>
          <w:kern w:val="0"/>
          <w:sz w:val="24"/>
        </w:rPr>
        <w:t xml:space="preserve"> </w:t>
      </w:r>
      <w:r>
        <w:rPr>
          <w:rFonts w:hint="eastAsia" w:ascii="宋体" w:hAnsi="宋体" w:eastAsia="宋体" w:cs="宋体"/>
          <w:kern w:val="0"/>
          <w:sz w:val="24"/>
        </w:rPr>
        <w:t>设备设计符合节约能源、降低消耗、安全环保、运行可靠、员工职业健康安全。</w:t>
      </w:r>
    </w:p>
    <w:p w14:paraId="1F57B87C">
      <w:pPr>
        <w:widowControl/>
        <w:ind w:firstLine="480" w:firstLineChars="200"/>
        <w:jc w:val="left"/>
      </w:pPr>
      <w:r>
        <w:rPr>
          <w:rFonts w:hint="eastAsia" w:ascii="黑体" w:hAnsi="宋体" w:eastAsia="黑体" w:cs="黑体"/>
          <w:kern w:val="0"/>
          <w:sz w:val="24"/>
        </w:rPr>
        <w:t>4 特别提示</w:t>
      </w:r>
    </w:p>
    <w:p w14:paraId="034D3129">
      <w:pPr>
        <w:widowControl/>
        <w:ind w:firstLine="480" w:firstLineChars="200"/>
        <w:jc w:val="left"/>
      </w:pPr>
      <w:r>
        <w:rPr>
          <w:rFonts w:hint="eastAsia" w:ascii="宋体" w:hAnsi="宋体" w:eastAsia="宋体" w:cs="宋体"/>
          <w:kern w:val="0"/>
          <w:sz w:val="24"/>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4363A9A4">
      <w:pPr>
        <w:widowControl/>
        <w:ind w:firstLine="480" w:firstLineChars="200"/>
        <w:jc w:val="left"/>
      </w:pPr>
      <w:r>
        <w:rPr>
          <w:rFonts w:hint="eastAsia" w:ascii="宋体" w:hAnsi="宋体" w:eastAsia="宋体" w:cs="宋体"/>
          <w:kern w:val="0"/>
          <w:sz w:val="24"/>
        </w:rPr>
        <w:t>4.2 本技术要求所使用的标准、规范等，如与投标方所执行的标准、规范不一致时，应按高于本技术要求所列的标准、规范执行，并在投标文件“技术偏离”中予以说明。</w:t>
      </w:r>
    </w:p>
    <w:p w14:paraId="616FD7D0">
      <w:pPr>
        <w:widowControl/>
        <w:ind w:firstLine="480" w:firstLineChars="200"/>
        <w:jc w:val="left"/>
      </w:pPr>
      <w:r>
        <w:rPr>
          <w:rFonts w:hint="eastAsia" w:ascii="宋体" w:hAnsi="宋体" w:eastAsia="宋体" w:cs="宋体"/>
          <w:kern w:val="0"/>
          <w:sz w:val="24"/>
        </w:rPr>
        <w:t>4.3 投标方认为所供设备必需由招标方配备、解决或提供的其它要求，如设备基础隔振和减振设施、软化水、洁净气源等，均应在投标文件“技术偏离”中予以充分说明。</w:t>
      </w:r>
    </w:p>
    <w:p w14:paraId="1AB7323D">
      <w:pPr>
        <w:widowControl/>
        <w:ind w:firstLine="480" w:firstLineChars="200"/>
        <w:jc w:val="left"/>
      </w:pPr>
      <w:r>
        <w:rPr>
          <w:rFonts w:hint="eastAsia" w:ascii="宋体" w:hAnsi="宋体" w:eastAsia="宋体" w:cs="宋体"/>
          <w:kern w:val="0"/>
          <w:sz w:val="24"/>
        </w:rPr>
        <w:t>4.</w:t>
      </w:r>
      <w:r>
        <w:rPr>
          <w:rFonts w:ascii="宋体" w:hAnsi="宋体" w:eastAsia="宋体" w:cs="宋体"/>
          <w:kern w:val="0"/>
          <w:sz w:val="24"/>
        </w:rPr>
        <w:t>4</w:t>
      </w:r>
      <w:r>
        <w:rPr>
          <w:rFonts w:hint="eastAsia" w:ascii="宋体" w:hAnsi="宋体" w:eastAsia="宋体" w:cs="宋体"/>
          <w:kern w:val="0"/>
          <w:sz w:val="24"/>
        </w:rPr>
        <w:t xml:space="preserve"> 投标文件中，针对“特别提示”条款所做的回应，将作为投标方能否中标的重要依据之一。</w:t>
      </w:r>
    </w:p>
    <w:p w14:paraId="010F0250">
      <w:pPr>
        <w:widowControl/>
        <w:jc w:val="center"/>
      </w:pPr>
      <w:r>
        <w:rPr>
          <w:rFonts w:hint="eastAsia" w:ascii="黑体" w:hAnsi="宋体" w:eastAsia="黑体" w:cs="黑体"/>
          <w:kern w:val="0"/>
          <w:sz w:val="24"/>
        </w:rPr>
        <w:t>第三章供货范围及供货方式</w:t>
      </w:r>
    </w:p>
    <w:p w14:paraId="37D87AB9">
      <w:pPr>
        <w:widowControl/>
        <w:jc w:val="center"/>
      </w:pPr>
      <w:r>
        <w:rPr>
          <w:rFonts w:hint="eastAsia" w:ascii="黑体" w:hAnsi="宋体" w:eastAsia="黑体" w:cs="黑体"/>
          <w:kern w:val="0"/>
          <w:sz w:val="24"/>
        </w:rPr>
        <w:t>第一节供货范围</w:t>
      </w:r>
    </w:p>
    <w:p w14:paraId="06E8E5E0">
      <w:pPr>
        <w:widowControl/>
        <w:ind w:firstLine="480" w:firstLineChars="200"/>
        <w:jc w:val="left"/>
      </w:pPr>
      <w:r>
        <w:rPr>
          <w:rFonts w:hint="eastAsia" w:ascii="宋体" w:hAnsi="宋体" w:eastAsia="宋体" w:cs="宋体"/>
          <w:kern w:val="0"/>
          <w:sz w:val="24"/>
        </w:rPr>
        <w:t>1 主要供货范围</w:t>
      </w:r>
    </w:p>
    <w:p w14:paraId="2FC77913">
      <w:pPr>
        <w:widowControl/>
        <w:ind w:firstLine="480" w:firstLineChars="200"/>
        <w:jc w:val="left"/>
      </w:pPr>
      <w:r>
        <w:rPr>
          <w:rFonts w:hint="eastAsia" w:ascii="宋体" w:hAnsi="宋体" w:eastAsia="宋体" w:cs="宋体"/>
          <w:kern w:val="0"/>
          <w:sz w:val="24"/>
        </w:rPr>
        <w:t>1.1 工程性质：该项目为交钥匙工程。</w:t>
      </w:r>
    </w:p>
    <w:p w14:paraId="127C984F">
      <w:pPr>
        <w:widowControl/>
        <w:ind w:firstLine="480" w:firstLineChars="200"/>
        <w:jc w:val="left"/>
        <w:rPr>
          <w:rFonts w:eastAsia="宋体"/>
        </w:rPr>
      </w:pPr>
      <w:r>
        <w:rPr>
          <w:rFonts w:hint="eastAsia" w:ascii="宋体" w:hAnsi="宋体" w:eastAsia="宋体" w:cs="宋体"/>
          <w:kern w:val="0"/>
          <w:sz w:val="24"/>
        </w:rPr>
        <w:t>1.2 招标方只提供所需厂地。</w:t>
      </w:r>
    </w:p>
    <w:p w14:paraId="50EBD056">
      <w:pPr>
        <w:widowControl/>
        <w:ind w:firstLine="480" w:firstLineChars="200"/>
        <w:jc w:val="left"/>
      </w:pPr>
      <w:r>
        <w:rPr>
          <w:rFonts w:hint="eastAsia" w:ascii="宋体" w:hAnsi="宋体" w:eastAsia="宋体" w:cs="宋体"/>
          <w:kern w:val="0"/>
          <w:sz w:val="24"/>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01A45195">
      <w:pPr>
        <w:widowControl/>
        <w:ind w:firstLine="480" w:firstLineChars="200"/>
        <w:jc w:val="left"/>
      </w:pPr>
      <w:r>
        <w:rPr>
          <w:rFonts w:hint="eastAsia" w:ascii="宋体" w:hAnsi="宋体" w:eastAsia="宋体" w:cs="宋体"/>
          <w:kern w:val="0"/>
          <w:sz w:val="24"/>
        </w:rPr>
        <w:t>1.4 投标方应提供包括设备正常运行所必需的全套连线设备、材料等；如：联接法兰外端面（含联接螺栓）之内的、电气系统接口压线板（插座等）之内的设备、材料等；</w:t>
      </w:r>
    </w:p>
    <w:p w14:paraId="17DA688B">
      <w:pPr>
        <w:widowControl/>
        <w:ind w:firstLine="480" w:firstLineChars="200"/>
        <w:jc w:val="left"/>
      </w:pPr>
      <w:r>
        <w:rPr>
          <w:rFonts w:hint="eastAsia" w:ascii="宋体" w:hAnsi="宋体" w:eastAsia="宋体" w:cs="宋体"/>
          <w:kern w:val="0"/>
          <w:sz w:val="24"/>
        </w:rPr>
        <w:t>1.5 投标方应提供包括设备正常运行、使用所必需的过桥、护栏、防护网、盖板等辅助设施。标书中有要求的，按标书要求提供；标书中无具体要求而投标方认为必须具备的，在投标文件报价明细中，单独报价。</w:t>
      </w:r>
    </w:p>
    <w:p w14:paraId="30E964CE">
      <w:pPr>
        <w:widowControl/>
        <w:ind w:firstLine="480" w:firstLineChars="200"/>
        <w:jc w:val="left"/>
      </w:pPr>
      <w:r>
        <w:rPr>
          <w:rFonts w:hint="eastAsia" w:ascii="宋体" w:hAnsi="宋体" w:eastAsia="宋体" w:cs="宋体"/>
          <w:kern w:val="0"/>
          <w:sz w:val="24"/>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04CCFCAF">
      <w:pPr>
        <w:widowControl/>
        <w:ind w:firstLine="480" w:firstLineChars="200"/>
        <w:jc w:val="left"/>
      </w:pPr>
      <w:r>
        <w:rPr>
          <w:rFonts w:hint="eastAsia" w:ascii="宋体" w:hAnsi="宋体" w:eastAsia="宋体" w:cs="宋体"/>
          <w:kern w:val="0"/>
          <w:sz w:val="24"/>
        </w:rPr>
        <w:t>1.7 投标方应提供包括为保证设备自身正常运行所必需的、适应使用地点条件的通风、冷却、降温系统等。</w:t>
      </w:r>
    </w:p>
    <w:p w14:paraId="47066621">
      <w:pPr>
        <w:widowControl/>
        <w:ind w:firstLine="480" w:firstLineChars="200"/>
        <w:jc w:val="left"/>
      </w:pPr>
      <w:r>
        <w:rPr>
          <w:rFonts w:hint="eastAsia" w:ascii="宋体" w:hAnsi="宋体" w:eastAsia="宋体" w:cs="宋体"/>
          <w:kern w:val="0"/>
          <w:sz w:val="24"/>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5B88EA0C">
      <w:pPr>
        <w:widowControl/>
        <w:ind w:firstLine="480" w:firstLineChars="200"/>
        <w:jc w:val="left"/>
      </w:pPr>
      <w:r>
        <w:rPr>
          <w:rFonts w:hint="eastAsia" w:ascii="宋体" w:hAnsi="宋体" w:eastAsia="宋体" w:cs="宋体"/>
          <w:kern w:val="0"/>
          <w:sz w:val="24"/>
        </w:rPr>
        <w:t>1.9 投标方应提供设备维修所必需的专用工具，并在投标报价部分说明数量。</w:t>
      </w:r>
    </w:p>
    <w:p w14:paraId="2E87BFA7">
      <w:pPr>
        <w:widowControl/>
        <w:ind w:firstLine="480" w:firstLineChars="200"/>
        <w:jc w:val="left"/>
      </w:pPr>
      <w:r>
        <w:rPr>
          <w:rFonts w:hint="eastAsia" w:ascii="宋体" w:hAnsi="宋体" w:eastAsia="宋体" w:cs="宋体"/>
          <w:kern w:val="0"/>
          <w:sz w:val="24"/>
        </w:rPr>
        <w:t>1.10 投标文件中，应当有主机的价格和详细的配置价格清单（包括硬件和加工程序软件），主机的外围配置的详细价格清单，单独列价的硬件和加工软件的详细价格清单。</w:t>
      </w:r>
    </w:p>
    <w:p w14:paraId="28D035B9">
      <w:pPr>
        <w:widowControl/>
        <w:ind w:firstLine="480" w:firstLineChars="200"/>
        <w:jc w:val="left"/>
      </w:pPr>
      <w:r>
        <w:rPr>
          <w:rFonts w:hint="eastAsia" w:ascii="黑体" w:hAnsi="宋体" w:eastAsia="黑体" w:cs="黑体"/>
          <w:kern w:val="0"/>
          <w:sz w:val="24"/>
        </w:rPr>
        <w:t>2 备品备件、易损件和专用耗材供货范围</w:t>
      </w:r>
    </w:p>
    <w:p w14:paraId="56A9BBB1">
      <w:pPr>
        <w:widowControl/>
        <w:ind w:firstLine="480" w:firstLineChars="200"/>
        <w:jc w:val="left"/>
      </w:pPr>
      <w:r>
        <w:rPr>
          <w:rFonts w:hint="eastAsia" w:ascii="宋体" w:hAnsi="宋体" w:eastAsia="宋体" w:cs="宋体"/>
          <w:kern w:val="0"/>
          <w:sz w:val="24"/>
        </w:rPr>
        <w:t>2.1 招标方招标文件所指备品备件、易损件和专用耗材，是招标方为保证设备质保期之后正常运行一年所自备自用的备品备件、易损件和专用耗材。</w:t>
      </w:r>
    </w:p>
    <w:p w14:paraId="48926C10">
      <w:pPr>
        <w:widowControl/>
        <w:ind w:firstLine="480" w:firstLineChars="200"/>
        <w:jc w:val="left"/>
      </w:pPr>
      <w:r>
        <w:rPr>
          <w:rFonts w:hint="eastAsia" w:ascii="宋体" w:hAnsi="宋体" w:eastAsia="宋体" w:cs="宋体"/>
          <w:kern w:val="0"/>
          <w:sz w:val="24"/>
        </w:rPr>
        <w:t>2.2 投标方按照招标文件要求提供、或投标方认为招标方应当储备的备品备件、易损件和专用耗材，投标方应当在投标报价部分分别说明所列备品备件、易损件和专用耗材的使用时间。</w:t>
      </w:r>
    </w:p>
    <w:p w14:paraId="344877D5">
      <w:pPr>
        <w:widowControl/>
        <w:ind w:firstLine="480" w:firstLineChars="200"/>
        <w:jc w:val="left"/>
      </w:pPr>
      <w:r>
        <w:rPr>
          <w:rFonts w:hint="eastAsia" w:ascii="宋体" w:hAnsi="宋体" w:eastAsia="宋体" w:cs="宋体"/>
          <w:kern w:val="0"/>
          <w:sz w:val="24"/>
        </w:rPr>
        <w:t>2.3 投标方应提供易损件和专用耗材的制造图纸及其技术要求等资料。</w:t>
      </w:r>
    </w:p>
    <w:p w14:paraId="5B29EDEF">
      <w:pPr>
        <w:widowControl/>
        <w:ind w:firstLine="480" w:firstLineChars="200"/>
        <w:jc w:val="left"/>
      </w:pPr>
      <w:r>
        <w:rPr>
          <w:rFonts w:hint="eastAsia" w:ascii="宋体" w:hAnsi="宋体" w:eastAsia="宋体" w:cs="宋体"/>
          <w:kern w:val="0"/>
          <w:sz w:val="24"/>
        </w:rPr>
        <w:t>2.4 投标文件中，应当有备品备件、易损件和专用耗材的详细清单（内容包括名称、型号、规格、单位、数量、生产厂家、单价、总价等）。</w:t>
      </w:r>
    </w:p>
    <w:p w14:paraId="7299D591">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2.5 备品备件、易损件和专用耗材的费用应分类单列，并计入投标总报价之内。</w:t>
      </w:r>
    </w:p>
    <w:p w14:paraId="12A32386">
      <w:pPr>
        <w:widowControl/>
        <w:ind w:firstLine="480" w:firstLineChars="200"/>
        <w:jc w:val="left"/>
      </w:pPr>
      <w:r>
        <w:rPr>
          <w:rFonts w:hint="eastAsia" w:ascii="黑体" w:hAnsi="宋体" w:eastAsia="黑体" w:cs="黑体"/>
          <w:kern w:val="0"/>
          <w:sz w:val="24"/>
        </w:rPr>
        <w:t>3 技术资料供货范围</w:t>
      </w:r>
    </w:p>
    <w:p w14:paraId="17968B4C">
      <w:pPr>
        <w:widowControl/>
        <w:ind w:firstLine="480" w:firstLineChars="200"/>
        <w:jc w:val="left"/>
      </w:pPr>
      <w:r>
        <w:rPr>
          <w:rFonts w:hint="eastAsia" w:ascii="宋体" w:hAnsi="宋体" w:eastAsia="宋体" w:cs="宋体"/>
          <w:kern w:val="0"/>
          <w:sz w:val="24"/>
        </w:rPr>
        <w:t>3.1 投标方须负责在合同签订后 15 个日历日内，提供设备基础及相关的设计、制作所需的纸质及电子版资料；电子版文件应当能够使用常用版本软件可以阅读和使用，进口货物、设备应有中外文对照。</w:t>
      </w:r>
    </w:p>
    <w:p w14:paraId="056A9E42">
      <w:pPr>
        <w:widowControl/>
        <w:ind w:firstLine="480" w:firstLineChars="200"/>
        <w:jc w:val="left"/>
      </w:pPr>
      <w:r>
        <w:rPr>
          <w:rFonts w:hint="eastAsia" w:ascii="宋体" w:hAnsi="宋体" w:eastAsia="宋体" w:cs="宋体"/>
          <w:kern w:val="0"/>
          <w:sz w:val="24"/>
        </w:rPr>
        <w:t>3.2 投标方应同时提出对厂房、基础、公用设施、消防、环保等超出招标文件、投标文件、答疑文件、技术交流文件、技术协议书和合同等规定的、有特殊需要的解释、说明和要求。</w:t>
      </w:r>
    </w:p>
    <w:p w14:paraId="6645ED91">
      <w:pPr>
        <w:widowControl/>
        <w:ind w:firstLine="480" w:firstLineChars="200"/>
        <w:jc w:val="left"/>
      </w:pPr>
      <w:r>
        <w:rPr>
          <w:rFonts w:hint="eastAsia" w:ascii="宋体" w:hAnsi="宋体" w:eastAsia="宋体" w:cs="宋体"/>
          <w:kern w:val="0"/>
          <w:sz w:val="24"/>
        </w:rPr>
        <w:t>3.3 投标方须负责在预验收前，提供设备各部分的功能描述文件、图片、影像等资料（进口、设备应有中外文对照）。</w:t>
      </w:r>
    </w:p>
    <w:p w14:paraId="23B7B83B">
      <w:pPr>
        <w:widowControl/>
        <w:ind w:firstLine="480" w:firstLineChars="200"/>
        <w:jc w:val="left"/>
      </w:pPr>
      <w:r>
        <w:rPr>
          <w:rFonts w:hint="eastAsia" w:ascii="宋体" w:hAnsi="宋体" w:eastAsia="宋体" w:cs="宋体"/>
          <w:kern w:val="0"/>
          <w:sz w:val="24"/>
        </w:rPr>
        <w:t>3.4 投标方须负责在终验收前，提供招标方为保证设备正常运行所需后续、具体技术要求等资料（如果供货范围包含该部分实物）。</w:t>
      </w:r>
    </w:p>
    <w:p w14:paraId="5A238021">
      <w:pPr>
        <w:widowControl/>
        <w:ind w:firstLine="480" w:firstLineChars="200"/>
        <w:jc w:val="left"/>
      </w:pPr>
      <w:r>
        <w:rPr>
          <w:rFonts w:hint="eastAsia" w:ascii="宋体" w:hAnsi="宋体" w:eastAsia="宋体" w:cs="宋体"/>
          <w:kern w:val="0"/>
          <w:sz w:val="24"/>
        </w:rPr>
        <w:t>3.5 投标方须负责在终验收前，提供确定的而且质保期之后招标方维修所需要的可以自行采购的外购件、外协件、电气元件及主要原材料的供货厂家明细表。</w:t>
      </w:r>
    </w:p>
    <w:p w14:paraId="1EF763E2">
      <w:pPr>
        <w:widowControl/>
        <w:ind w:firstLine="480" w:firstLineChars="200"/>
        <w:jc w:val="left"/>
      </w:pPr>
      <w:r>
        <w:rPr>
          <w:rFonts w:hint="eastAsia" w:ascii="宋体" w:hAnsi="宋体" w:eastAsia="宋体" w:cs="宋体"/>
          <w:kern w:val="0"/>
          <w:sz w:val="24"/>
        </w:rPr>
        <w:t>3.6 投标方须负责在终验收前，提供包括设备的备品备件、易损件和专用耗材规定的图纸及技术参数、技术要求等资料。</w:t>
      </w:r>
    </w:p>
    <w:p w14:paraId="13BF8C2D">
      <w:pPr>
        <w:widowControl/>
        <w:ind w:firstLine="480" w:firstLineChars="200"/>
        <w:jc w:val="left"/>
      </w:pPr>
      <w:r>
        <w:rPr>
          <w:rFonts w:hint="eastAsia" w:ascii="宋体" w:hAnsi="宋体" w:eastAsia="宋体" w:cs="宋体"/>
          <w:kern w:val="0"/>
          <w:sz w:val="24"/>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3671613B">
      <w:pPr>
        <w:widowControl/>
        <w:ind w:firstLine="480" w:firstLineChars="200"/>
        <w:jc w:val="left"/>
      </w:pPr>
      <w:r>
        <w:rPr>
          <w:rFonts w:hint="eastAsia" w:ascii="宋体" w:hAnsi="宋体" w:eastAsia="宋体" w:cs="宋体"/>
          <w:kern w:val="0"/>
          <w:sz w:val="24"/>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36ABE7D4">
      <w:pPr>
        <w:widowControl/>
        <w:ind w:firstLine="480" w:firstLineChars="200"/>
        <w:jc w:val="left"/>
      </w:pPr>
      <w:r>
        <w:rPr>
          <w:rFonts w:hint="eastAsia" w:ascii="宋体" w:hAnsi="宋体" w:eastAsia="宋体" w:cs="宋体"/>
          <w:kern w:val="0"/>
          <w:sz w:val="24"/>
        </w:rPr>
        <w:t>3.9 本条款所列的技术资料、图片、影像等，投标方应各提供 5 套，其中 2 套为电子版光（软）盘；每份技术文件应装有目录清单。</w:t>
      </w:r>
    </w:p>
    <w:p w14:paraId="7BE99038">
      <w:pPr>
        <w:widowControl/>
        <w:ind w:firstLine="480" w:firstLineChars="200"/>
        <w:jc w:val="left"/>
      </w:pPr>
      <w:r>
        <w:rPr>
          <w:rFonts w:hint="eastAsia" w:ascii="宋体" w:hAnsi="宋体" w:eastAsia="宋体" w:cs="宋体"/>
          <w:kern w:val="0"/>
          <w:sz w:val="24"/>
        </w:rPr>
        <w:t>3.10 本条款所列要求，如招标方认为投标方提供的资料不能满足要求时，有权要求投标方免费补充或增加。</w:t>
      </w:r>
    </w:p>
    <w:p w14:paraId="4A4EBD3D">
      <w:pPr>
        <w:widowControl/>
        <w:jc w:val="center"/>
      </w:pPr>
      <w:r>
        <w:rPr>
          <w:rFonts w:hint="eastAsia" w:ascii="黑体" w:hAnsi="宋体" w:eastAsia="黑体" w:cs="黑体"/>
          <w:kern w:val="0"/>
          <w:sz w:val="24"/>
        </w:rPr>
        <w:t>第二节供货方式</w:t>
      </w:r>
    </w:p>
    <w:p w14:paraId="49BEA19B">
      <w:pPr>
        <w:widowControl/>
        <w:ind w:firstLine="480" w:firstLineChars="200"/>
        <w:jc w:val="left"/>
      </w:pPr>
      <w:r>
        <w:rPr>
          <w:rFonts w:hint="eastAsia" w:ascii="黑体" w:hAnsi="宋体" w:eastAsia="黑体" w:cs="黑体"/>
          <w:kern w:val="0"/>
          <w:sz w:val="24"/>
        </w:rPr>
        <w:t>1 供货地点及款项支付</w:t>
      </w:r>
    </w:p>
    <w:p w14:paraId="314A85FC">
      <w:pPr>
        <w:widowControl/>
        <w:ind w:firstLine="480" w:firstLineChars="200"/>
        <w:jc w:val="left"/>
      </w:pPr>
      <w:r>
        <w:rPr>
          <w:rFonts w:hint="eastAsia" w:ascii="宋体" w:hAnsi="宋体" w:eastAsia="宋体" w:cs="宋体"/>
          <w:kern w:val="0"/>
          <w:sz w:val="24"/>
        </w:rPr>
        <w:t>1.1 本项目建设工地（大同市云州街99号中国重汽集团大同齿轮有限公司）。</w:t>
      </w:r>
    </w:p>
    <w:p w14:paraId="34161C94">
      <w:pPr>
        <w:widowControl/>
        <w:ind w:firstLine="480" w:firstLineChars="200"/>
        <w:jc w:val="left"/>
        <w:rPr>
          <w:rFonts w:hint="default" w:ascii="宋体" w:hAnsi="宋体" w:eastAsia="宋体" w:cs="宋体"/>
          <w:kern w:val="0"/>
          <w:sz w:val="24"/>
          <w:lang w:val="en-US" w:eastAsia="zh-CN"/>
        </w:rPr>
      </w:pPr>
      <w:r>
        <w:rPr>
          <w:rFonts w:hint="eastAsia" w:ascii="宋体" w:hAnsi="宋体" w:eastAsia="宋体" w:cs="宋体"/>
          <w:kern w:val="0"/>
          <w:sz w:val="24"/>
        </w:rPr>
        <w:t>1.2</w:t>
      </w:r>
      <w:r>
        <w:rPr>
          <w:rFonts w:ascii="宋体" w:hAnsi="宋体" w:eastAsia="宋体" w:cs="宋体"/>
          <w:kern w:val="0"/>
          <w:sz w:val="24"/>
        </w:rPr>
        <w:t>付款方式：</w:t>
      </w:r>
      <w:r>
        <w:rPr>
          <w:rFonts w:hint="eastAsia" w:ascii="宋体" w:hAnsi="宋体" w:eastAsia="宋体" w:cs="宋体"/>
          <w:kern w:val="0"/>
          <w:sz w:val="24"/>
          <w:lang w:val="en-US" w:eastAsia="zh-CN"/>
        </w:rPr>
        <w:t>30%到货款，60%验收款，10%质保金。</w:t>
      </w:r>
    </w:p>
    <w:p w14:paraId="70E7F000">
      <w:pPr>
        <w:widowControl/>
        <w:ind w:firstLine="480" w:firstLineChars="200"/>
        <w:jc w:val="left"/>
      </w:pPr>
      <w:r>
        <w:rPr>
          <w:rFonts w:hint="eastAsia" w:ascii="黑体" w:hAnsi="宋体" w:eastAsia="黑体" w:cs="黑体"/>
          <w:kern w:val="0"/>
          <w:sz w:val="24"/>
        </w:rPr>
        <w:t>2 供货时间</w:t>
      </w:r>
    </w:p>
    <w:p w14:paraId="0CEF1322">
      <w:pPr>
        <w:widowControl/>
        <w:ind w:firstLine="480" w:firstLineChars="200"/>
        <w:jc w:val="left"/>
        <w:rPr>
          <w:color w:val="000000" w:themeColor="text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2.1投标方应自接到中标通知之日起，三个月内交货至招标方使用地点。</w:t>
      </w:r>
    </w:p>
    <w:p w14:paraId="4ABDBED1">
      <w:pPr>
        <w:widowControl/>
        <w:ind w:firstLine="480" w:firstLineChars="200"/>
        <w:jc w:val="left"/>
        <w:rPr>
          <w:rFonts w:eastAsia="宋体"/>
          <w:color w:val="000000" w:themeColor="text1"/>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2.2接续10个日历日之内安装调试完毕。</w:t>
      </w:r>
    </w:p>
    <w:p w14:paraId="6C4E2BFE">
      <w:pPr>
        <w:widowControl/>
        <w:ind w:firstLine="480" w:firstLineChars="200"/>
        <w:jc w:val="left"/>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2.3接续20个日历日之内投入使用。</w:t>
      </w:r>
    </w:p>
    <w:p w14:paraId="0DFAA7D6">
      <w:pPr>
        <w:widowControl/>
        <w:ind w:firstLine="480" w:firstLineChars="200"/>
        <w:jc w:val="left"/>
      </w:pPr>
      <w:r>
        <w:rPr>
          <w:rFonts w:hint="eastAsia" w:ascii="宋体" w:hAnsi="宋体" w:eastAsia="宋体" w:cs="宋体"/>
          <w:kern w:val="0"/>
          <w:sz w:val="24"/>
        </w:rPr>
        <w:t>2.4 投标方应当提供详细的工期计划。</w:t>
      </w:r>
    </w:p>
    <w:p w14:paraId="64057A42">
      <w:pPr>
        <w:widowControl/>
        <w:ind w:firstLine="480" w:firstLineChars="200"/>
        <w:jc w:val="left"/>
      </w:pPr>
      <w:r>
        <w:rPr>
          <w:rFonts w:hint="eastAsia" w:ascii="宋体" w:hAnsi="宋体" w:eastAsia="宋体" w:cs="宋体"/>
          <w:kern w:val="0"/>
          <w:sz w:val="24"/>
        </w:rPr>
        <w:t>2.5 设备终验收结束后，招标方投入生产使用时，投标方应当提供 5 个工作日的陪同生产人员（投标方的设备终验收调试人员）。</w:t>
      </w:r>
    </w:p>
    <w:p w14:paraId="413014B0">
      <w:pPr>
        <w:widowControl/>
        <w:ind w:firstLine="480" w:firstLineChars="200"/>
        <w:jc w:val="left"/>
      </w:pPr>
      <w:r>
        <w:rPr>
          <w:rFonts w:hint="eastAsia" w:ascii="黑体" w:hAnsi="宋体" w:eastAsia="黑体" w:cs="黑体"/>
          <w:kern w:val="0"/>
          <w:sz w:val="24"/>
        </w:rPr>
        <w:t>3 质保期</w:t>
      </w:r>
    </w:p>
    <w:p w14:paraId="6C966E30">
      <w:pPr>
        <w:widowControl/>
        <w:ind w:firstLine="480" w:firstLineChars="200"/>
        <w:jc w:val="left"/>
      </w:pPr>
      <w:r>
        <w:rPr>
          <w:rFonts w:hint="eastAsia" w:ascii="宋体" w:hAnsi="宋体" w:eastAsia="宋体" w:cs="宋体"/>
          <w:kern w:val="0"/>
          <w:sz w:val="24"/>
        </w:rPr>
        <w:t>3.1 投标方所提供设备涉及的全部供货范围内的设备、材料、零配件和工器具等，除合同特别约定外，其质保期均自终验收签字生效之日起12个月。</w:t>
      </w:r>
    </w:p>
    <w:p w14:paraId="620E27DD">
      <w:pPr>
        <w:widowControl/>
        <w:ind w:firstLine="480" w:firstLineChars="200"/>
        <w:jc w:val="left"/>
      </w:pPr>
      <w:r>
        <w:rPr>
          <w:rFonts w:hint="eastAsia" w:ascii="宋体" w:hAnsi="宋体" w:eastAsia="宋体" w:cs="宋体"/>
          <w:kern w:val="0"/>
          <w:sz w:val="24"/>
        </w:rPr>
        <w:t>3.2 质保期之内，如果设备出现关键设备、总成、零部件或者多处一般设备、总成、零部件的更换或维修行为，则质保期自更换或维修行为结束、设备能够正常运行使用之日起重新计算。</w:t>
      </w:r>
    </w:p>
    <w:p w14:paraId="541C3003">
      <w:pPr>
        <w:widowControl/>
        <w:ind w:firstLine="480" w:firstLineChars="200"/>
        <w:jc w:val="left"/>
      </w:pPr>
      <w:r>
        <w:rPr>
          <w:rFonts w:hint="eastAsia" w:ascii="黑体" w:hAnsi="宋体" w:eastAsia="黑体" w:cs="黑体"/>
          <w:kern w:val="0"/>
          <w:sz w:val="24"/>
        </w:rPr>
        <w:t>4 包装</w:t>
      </w:r>
    </w:p>
    <w:p w14:paraId="586ABE0D">
      <w:pPr>
        <w:widowControl/>
        <w:ind w:firstLine="480" w:firstLineChars="200"/>
        <w:jc w:val="left"/>
      </w:pPr>
      <w:r>
        <w:rPr>
          <w:rFonts w:hint="eastAsia" w:ascii="宋体" w:hAnsi="宋体" w:eastAsia="宋体" w:cs="宋体"/>
          <w:kern w:val="0"/>
          <w:sz w:val="24"/>
        </w:rPr>
        <w:t>4.1 投标方所提供货物（或设备）的包装，应遵照国家标准和有关包装、包皮的技术条件，或按照最好的商业惯例进行包装。</w:t>
      </w:r>
    </w:p>
    <w:p w14:paraId="1209E632">
      <w:pPr>
        <w:widowControl/>
        <w:ind w:firstLine="480" w:firstLineChars="200"/>
        <w:jc w:val="left"/>
      </w:pPr>
      <w:r>
        <w:rPr>
          <w:rFonts w:hint="eastAsia" w:ascii="宋体" w:hAnsi="宋体" w:eastAsia="宋体" w:cs="宋体"/>
          <w:kern w:val="0"/>
          <w:sz w:val="24"/>
        </w:rPr>
        <w:t>4.2 包装应能满足所需要采取的运输方式（船运、汽运或铁路运输）、多次吊装卸装、卸货以及长期露天堆放要求，应能防止雨淋、受潮、生锈、腐蚀、受振、受磁以及机械和化学因素等引起的损坏。</w:t>
      </w:r>
    </w:p>
    <w:p w14:paraId="20D0CE1A">
      <w:pPr>
        <w:widowControl/>
        <w:ind w:firstLine="480" w:firstLineChars="200"/>
        <w:jc w:val="left"/>
      </w:pPr>
      <w:r>
        <w:rPr>
          <w:rFonts w:hint="eastAsia" w:ascii="宋体" w:hAnsi="宋体" w:eastAsia="宋体" w:cs="宋体"/>
          <w:kern w:val="0"/>
          <w:sz w:val="24"/>
        </w:rPr>
        <w:t>4.3 投标方所提供货物（或设备）的包装，应能防止其一般性被窃或受外力破坏；一般不得采用有大缝隙的板条包装。</w:t>
      </w:r>
    </w:p>
    <w:p w14:paraId="057F8F4B">
      <w:pPr>
        <w:widowControl/>
        <w:ind w:firstLine="480" w:firstLineChars="200"/>
        <w:jc w:val="left"/>
      </w:pPr>
      <w:r>
        <w:rPr>
          <w:rFonts w:hint="eastAsia" w:ascii="宋体" w:hAnsi="宋体" w:eastAsia="宋体" w:cs="宋体"/>
          <w:kern w:val="0"/>
          <w:sz w:val="24"/>
        </w:rPr>
        <w:t>4.4 投标方应对包装件做必要的加固和固定，以防止运输可能造成的损坏。</w:t>
      </w:r>
    </w:p>
    <w:p w14:paraId="09A8ED8B">
      <w:pPr>
        <w:widowControl/>
        <w:ind w:firstLine="480" w:firstLineChars="200"/>
        <w:jc w:val="left"/>
      </w:pPr>
      <w:r>
        <w:rPr>
          <w:rFonts w:hint="eastAsia" w:ascii="宋体" w:hAnsi="宋体" w:eastAsia="宋体" w:cs="宋体"/>
          <w:kern w:val="0"/>
          <w:sz w:val="24"/>
        </w:rPr>
        <w:t>4.5 每个包装件应有装箱单，并至少标明名称、型号规格、数量、净重和毛重、投标方（或供货商）名称和制造日期等相关内容。</w:t>
      </w:r>
    </w:p>
    <w:p w14:paraId="30AD90F0">
      <w:pPr>
        <w:widowControl/>
        <w:ind w:firstLine="480" w:firstLineChars="200"/>
        <w:jc w:val="left"/>
      </w:pPr>
      <w:r>
        <w:rPr>
          <w:rFonts w:hint="eastAsia" w:ascii="宋体" w:hAnsi="宋体" w:eastAsia="宋体" w:cs="宋体"/>
          <w:kern w:val="0"/>
          <w:sz w:val="24"/>
        </w:rPr>
        <w:t>4.6 每个包装箱应有明显标志，并具有中文书写的合同号、装运标志、发货和到货地点名称、发货人和收货人名称、设备名称和项目号、箱号和外型尺寸等内容。</w:t>
      </w:r>
    </w:p>
    <w:p w14:paraId="0D9E1DCF">
      <w:pPr>
        <w:widowControl/>
        <w:ind w:firstLine="480" w:firstLineChars="200"/>
        <w:jc w:val="left"/>
      </w:pPr>
      <w:r>
        <w:rPr>
          <w:rFonts w:hint="eastAsia" w:ascii="宋体" w:hAnsi="宋体" w:eastAsia="宋体" w:cs="宋体"/>
          <w:kern w:val="0"/>
          <w:sz w:val="24"/>
        </w:rPr>
        <w:t>4.7 投标方还应按照不同的装运要求在包装箱上标明“小心轻放”、“箭头向上”、“防潮”、“防磁”、“不准平放”等标志，以及其它适用的国标通用标志。</w:t>
      </w:r>
    </w:p>
    <w:p w14:paraId="05EA40C8">
      <w:pPr>
        <w:widowControl/>
        <w:ind w:firstLine="480" w:firstLineChars="200"/>
        <w:jc w:val="left"/>
      </w:pPr>
      <w:r>
        <w:rPr>
          <w:rFonts w:hint="eastAsia" w:ascii="宋体" w:hAnsi="宋体" w:eastAsia="宋体" w:cs="宋体"/>
          <w:kern w:val="0"/>
          <w:sz w:val="24"/>
        </w:rPr>
        <w:t>4.8 包装箱应连续编号，不应出现重复编号。</w:t>
      </w:r>
    </w:p>
    <w:p w14:paraId="06C3DD13">
      <w:pPr>
        <w:widowControl/>
        <w:ind w:firstLine="480" w:firstLineChars="200"/>
        <w:jc w:val="left"/>
      </w:pPr>
      <w:r>
        <w:rPr>
          <w:rFonts w:hint="eastAsia" w:ascii="宋体" w:hAnsi="宋体" w:eastAsia="宋体" w:cs="宋体"/>
          <w:kern w:val="0"/>
          <w:sz w:val="24"/>
        </w:rPr>
        <w:t>4.9 在不受到外界破坏情况下，包装应保证自交货日起一年内货物（或设备）完好无损。</w:t>
      </w:r>
    </w:p>
    <w:p w14:paraId="2304E005">
      <w:pPr>
        <w:widowControl/>
        <w:ind w:firstLine="480" w:firstLineChars="200"/>
        <w:jc w:val="left"/>
      </w:pPr>
      <w:r>
        <w:rPr>
          <w:rFonts w:hint="eastAsia" w:ascii="黑体" w:hAnsi="宋体" w:eastAsia="黑体" w:cs="黑体"/>
          <w:kern w:val="0"/>
          <w:sz w:val="24"/>
        </w:rPr>
        <w:t>5 运输</w:t>
      </w:r>
    </w:p>
    <w:p w14:paraId="0D12E98D">
      <w:pPr>
        <w:widowControl/>
        <w:ind w:firstLine="480" w:firstLineChars="200"/>
        <w:jc w:val="left"/>
      </w:pPr>
      <w:r>
        <w:rPr>
          <w:rFonts w:hint="eastAsia" w:ascii="宋体" w:hAnsi="宋体" w:eastAsia="宋体" w:cs="宋体"/>
          <w:kern w:val="0"/>
          <w:sz w:val="24"/>
        </w:rPr>
        <w:t>5.1 投标方应负责将货物（或设备）运到目的地，并必须做到货物（或设备）在任何运输过程中不受损坏和遗失。</w:t>
      </w:r>
    </w:p>
    <w:p w14:paraId="29966F83">
      <w:pPr>
        <w:widowControl/>
        <w:ind w:firstLine="480" w:firstLineChars="200"/>
        <w:jc w:val="left"/>
      </w:pPr>
      <w:r>
        <w:rPr>
          <w:rFonts w:hint="eastAsia" w:ascii="宋体" w:hAnsi="宋体" w:eastAsia="宋体" w:cs="宋体"/>
          <w:kern w:val="0"/>
          <w:sz w:val="24"/>
        </w:rPr>
        <w:t>5.2 同批货物（或设备）应统一包装、编号运输。</w:t>
      </w:r>
    </w:p>
    <w:p w14:paraId="0B40AB4B">
      <w:pPr>
        <w:widowControl/>
        <w:ind w:firstLine="480" w:firstLineChars="200"/>
        <w:jc w:val="left"/>
      </w:pPr>
      <w:r>
        <w:rPr>
          <w:rFonts w:hint="eastAsia" w:ascii="宋体" w:hAnsi="宋体" w:eastAsia="宋体" w:cs="宋体"/>
          <w:kern w:val="0"/>
          <w:sz w:val="24"/>
        </w:rPr>
        <w:t>5.3 一般情况下，经由铁路、公路运输的包装件尺寸和重量不应超过国家所规定的尺寸限制。特殊情况应予以说明。（对于进口设备，投标文件内注明运输方式：空运、海运，并分别报价和说明运输周期。）</w:t>
      </w:r>
    </w:p>
    <w:p w14:paraId="4AF80049">
      <w:pPr>
        <w:widowControl/>
        <w:ind w:firstLine="480" w:firstLineChars="200"/>
        <w:jc w:val="left"/>
      </w:pPr>
      <w:r>
        <w:rPr>
          <w:rFonts w:hint="eastAsia" w:ascii="宋体" w:hAnsi="宋体" w:eastAsia="宋体" w:cs="宋体"/>
          <w:kern w:val="0"/>
          <w:sz w:val="24"/>
        </w:rPr>
        <w:t>5.4 在每批货物（或设备）发出后，投标方应立即通知招标方；通知中应指明：合同号、货运单号、件数、重量和货物（或设备）发出日期等相关内容。</w:t>
      </w:r>
      <w:r>
        <w:rPr>
          <w:rFonts w:ascii="Calibri" w:hAnsi="Calibri" w:eastAsia="宋体" w:cs="Calibri"/>
          <w:kern w:val="0"/>
          <w:sz w:val="18"/>
          <w:szCs w:val="18"/>
        </w:rPr>
        <w:t xml:space="preserve">- </w:t>
      </w:r>
    </w:p>
    <w:p w14:paraId="272FD886">
      <w:pPr>
        <w:widowControl/>
        <w:ind w:firstLine="480" w:firstLineChars="200"/>
        <w:jc w:val="left"/>
      </w:pPr>
      <w:r>
        <w:rPr>
          <w:rFonts w:hint="eastAsia" w:ascii="宋体" w:hAnsi="宋体" w:eastAsia="宋体" w:cs="宋体"/>
          <w:kern w:val="0"/>
          <w:sz w:val="24"/>
        </w:rPr>
        <w:t>5.5 货物（或设备）运抵招标方现场后，投标方应负责货物（或设备）的卸货、搬运、保管等事宜；或按照合同约定。</w:t>
      </w:r>
    </w:p>
    <w:p w14:paraId="719244A6">
      <w:pPr>
        <w:widowControl/>
        <w:jc w:val="center"/>
      </w:pPr>
      <w:r>
        <w:rPr>
          <w:rFonts w:hint="eastAsia" w:ascii="黑体" w:hAnsi="宋体" w:eastAsia="黑体" w:cs="黑体"/>
          <w:kern w:val="0"/>
          <w:sz w:val="24"/>
        </w:rPr>
        <w:t>第四章售中售后服务</w:t>
      </w:r>
    </w:p>
    <w:p w14:paraId="13608872">
      <w:pPr>
        <w:widowControl/>
        <w:ind w:firstLine="480" w:firstLineChars="200"/>
        <w:jc w:val="left"/>
      </w:pPr>
      <w:r>
        <w:rPr>
          <w:rFonts w:hint="eastAsia" w:ascii="黑体" w:hAnsi="宋体" w:eastAsia="黑体" w:cs="黑体"/>
          <w:kern w:val="0"/>
          <w:sz w:val="24"/>
        </w:rPr>
        <w:t>1 技术及培训服务</w:t>
      </w:r>
    </w:p>
    <w:p w14:paraId="795F45DE">
      <w:pPr>
        <w:widowControl/>
        <w:ind w:firstLine="480" w:firstLineChars="200"/>
        <w:jc w:val="left"/>
      </w:pPr>
      <w:r>
        <w:rPr>
          <w:rFonts w:hint="eastAsia" w:ascii="宋体" w:hAnsi="宋体" w:eastAsia="宋体" w:cs="宋体"/>
          <w:kern w:val="0"/>
          <w:sz w:val="24"/>
        </w:rPr>
        <w:t>1.1 投标方应负责对招标方不少于2名工程技术人员与2名操作人员提供不少于 2 个日历日的免费的、投标方生产制造现场的理论、技术和操作、维修等方面的技术指导和培训。</w:t>
      </w:r>
    </w:p>
    <w:p w14:paraId="5708484A">
      <w:pPr>
        <w:widowControl/>
        <w:ind w:firstLine="480" w:firstLineChars="200"/>
        <w:jc w:val="left"/>
      </w:pPr>
      <w:r>
        <w:rPr>
          <w:rFonts w:hint="eastAsia" w:ascii="宋体" w:hAnsi="宋体" w:eastAsia="宋体" w:cs="宋体"/>
          <w:kern w:val="0"/>
          <w:sz w:val="24"/>
        </w:rPr>
        <w:t>1.2 投标方应负责在招标方设备使用现场，进行 1～2 次免费的技术指导和培训，并接受招标方有关人员的技术咨询。</w:t>
      </w:r>
    </w:p>
    <w:p w14:paraId="73CA156C">
      <w:pPr>
        <w:widowControl/>
        <w:ind w:firstLine="480" w:firstLineChars="200"/>
        <w:jc w:val="left"/>
      </w:pPr>
      <w:r>
        <w:rPr>
          <w:rFonts w:hint="eastAsia" w:ascii="宋体" w:hAnsi="宋体" w:eastAsia="宋体" w:cs="宋体"/>
          <w:kern w:val="0"/>
          <w:sz w:val="24"/>
        </w:rPr>
        <w:t>1.3 投标方应免费提供一定数量的培训资料。</w:t>
      </w:r>
    </w:p>
    <w:p w14:paraId="2AA4C892">
      <w:pPr>
        <w:widowControl/>
        <w:ind w:firstLine="480" w:firstLineChars="200"/>
        <w:jc w:val="left"/>
      </w:pPr>
      <w:r>
        <w:rPr>
          <w:rFonts w:hint="eastAsia" w:ascii="宋体" w:hAnsi="宋体" w:eastAsia="宋体" w:cs="宋体"/>
          <w:kern w:val="0"/>
          <w:sz w:val="24"/>
        </w:rPr>
        <w:t>1.4投标方应按要求，免费积极协助和提供招标方以及招标方所委托的工程设计单位有关人员所需要的、与设备有关的工程设计资料、技术咨询等。</w:t>
      </w:r>
    </w:p>
    <w:p w14:paraId="0EAF5817">
      <w:pPr>
        <w:widowControl/>
        <w:ind w:firstLine="480" w:firstLineChars="200"/>
        <w:jc w:val="left"/>
      </w:pPr>
      <w:r>
        <w:rPr>
          <w:rFonts w:hint="eastAsia" w:ascii="宋体" w:hAnsi="宋体" w:eastAsia="宋体" w:cs="宋体"/>
          <w:kern w:val="0"/>
          <w:sz w:val="24"/>
        </w:rPr>
        <w:t>1.5 若投标方提供的设备涉及到外购外协货物、而且该货物的技术质量等较为关键时，投标方应能得到配套厂家的技术支持，并免费为招标方提供技术服务。</w:t>
      </w:r>
    </w:p>
    <w:p w14:paraId="77D33608">
      <w:pPr>
        <w:widowControl/>
        <w:ind w:firstLine="480" w:firstLineChars="200"/>
        <w:jc w:val="left"/>
      </w:pPr>
      <w:r>
        <w:rPr>
          <w:rFonts w:hint="eastAsia" w:ascii="宋体" w:hAnsi="宋体" w:eastAsia="宋体" w:cs="宋体"/>
          <w:kern w:val="0"/>
          <w:sz w:val="24"/>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7CCCBC46">
      <w:pPr>
        <w:widowControl/>
        <w:ind w:firstLine="480" w:firstLineChars="200"/>
        <w:jc w:val="left"/>
      </w:pPr>
      <w:r>
        <w:rPr>
          <w:rFonts w:hint="eastAsia" w:ascii="黑体" w:hAnsi="宋体" w:eastAsia="黑体" w:cs="黑体"/>
          <w:kern w:val="0"/>
          <w:sz w:val="24"/>
        </w:rPr>
        <w:t>2 安装调试服务</w:t>
      </w:r>
    </w:p>
    <w:p w14:paraId="555FD4DF">
      <w:pPr>
        <w:widowControl/>
        <w:ind w:firstLine="480" w:firstLineChars="200"/>
        <w:jc w:val="left"/>
      </w:pPr>
      <w:r>
        <w:rPr>
          <w:rFonts w:hint="eastAsia" w:ascii="宋体" w:hAnsi="宋体" w:eastAsia="宋体" w:cs="宋体"/>
          <w:kern w:val="0"/>
          <w:sz w:val="24"/>
        </w:rPr>
        <w:t>2.1 根据设备的要求，调试可分空载和负载两个阶段进行；招标方将予以积极配合，协助投标方达到设备的各项技术指标和性能要求。</w:t>
      </w:r>
    </w:p>
    <w:p w14:paraId="58764A33">
      <w:pPr>
        <w:widowControl/>
        <w:ind w:firstLine="480" w:firstLineChars="200"/>
        <w:jc w:val="left"/>
      </w:pPr>
      <w:r>
        <w:rPr>
          <w:rFonts w:hint="eastAsia" w:ascii="宋体" w:hAnsi="宋体" w:eastAsia="宋体" w:cs="宋体"/>
          <w:kern w:val="0"/>
          <w:sz w:val="24"/>
        </w:rPr>
        <w:t>2.2 安装调试与验收期间，若投标方提供的设备涉及到外购外协货物、而且该货物的技术质量等较为关键时，投标方应能得到配套厂家的技术支持，并免费为招标方提供安装使用现场的指导与协调。</w:t>
      </w:r>
    </w:p>
    <w:p w14:paraId="4D09628A">
      <w:pPr>
        <w:widowControl/>
        <w:ind w:firstLine="480" w:firstLineChars="200"/>
        <w:jc w:val="left"/>
      </w:pPr>
      <w:r>
        <w:rPr>
          <w:rFonts w:hint="eastAsia" w:ascii="宋体" w:hAnsi="宋体" w:eastAsia="宋体" w:cs="宋体"/>
          <w:kern w:val="0"/>
          <w:sz w:val="24"/>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7C162411">
      <w:pPr>
        <w:widowControl/>
        <w:ind w:firstLine="480" w:firstLineChars="200"/>
        <w:jc w:val="left"/>
      </w:pPr>
      <w:r>
        <w:rPr>
          <w:rFonts w:hint="eastAsia" w:ascii="黑体" w:hAnsi="宋体" w:eastAsia="黑体" w:cs="黑体"/>
          <w:kern w:val="0"/>
          <w:sz w:val="24"/>
        </w:rPr>
        <w:t>3 验收服务</w:t>
      </w:r>
    </w:p>
    <w:p w14:paraId="78729B81">
      <w:pPr>
        <w:widowControl/>
        <w:ind w:firstLine="480" w:firstLineChars="200"/>
        <w:jc w:val="left"/>
      </w:pPr>
      <w:r>
        <w:rPr>
          <w:rFonts w:hint="eastAsia" w:ascii="宋体" w:hAnsi="宋体" w:eastAsia="宋体" w:cs="宋体"/>
          <w:kern w:val="0"/>
          <w:sz w:val="24"/>
        </w:rPr>
        <w:t>3.1 投标方在招标方现场进行的设备的预验收和终验收配合或指导，应当是免费的。</w:t>
      </w:r>
    </w:p>
    <w:p w14:paraId="5FC4A377">
      <w:pPr>
        <w:widowControl/>
        <w:ind w:firstLine="480" w:firstLineChars="200"/>
        <w:jc w:val="left"/>
      </w:pPr>
      <w:r>
        <w:rPr>
          <w:rFonts w:hint="eastAsia" w:ascii="宋体" w:hAnsi="宋体" w:eastAsia="宋体" w:cs="宋体"/>
          <w:kern w:val="0"/>
          <w:sz w:val="24"/>
        </w:rPr>
        <w:t>3.2 设备验收时，若投标方提供的设备涉及到外购外协货物、而且该货物的技术质量等较为关键时，投标方应能得到配套厂家的技术支持，并免费为招标方提供使用现场验收的配合或指导。</w:t>
      </w:r>
    </w:p>
    <w:p w14:paraId="15BFF2F6">
      <w:pPr>
        <w:widowControl/>
        <w:ind w:firstLine="480" w:firstLineChars="200"/>
        <w:jc w:val="left"/>
      </w:pPr>
      <w:r>
        <w:rPr>
          <w:rFonts w:hint="eastAsia" w:ascii="宋体" w:hAnsi="宋体" w:eastAsia="宋体" w:cs="宋体"/>
          <w:kern w:val="0"/>
          <w:sz w:val="24"/>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7FD87BF7">
      <w:pPr>
        <w:widowControl/>
        <w:ind w:firstLine="480" w:firstLineChars="200"/>
        <w:jc w:val="left"/>
        <w:rPr>
          <w:sz w:val="24"/>
        </w:rPr>
      </w:pPr>
      <w:r>
        <w:rPr>
          <w:rFonts w:hint="eastAsia" w:ascii="宋体" w:hAnsi="宋体" w:eastAsia="宋体" w:cs="宋体"/>
          <w:kern w:val="0"/>
          <w:sz w:val="24"/>
        </w:rPr>
        <w:t>3.4</w:t>
      </w:r>
      <w:r>
        <w:rPr>
          <w:rFonts w:hint="eastAsia"/>
          <w:sz w:val="24"/>
        </w:rPr>
        <w:t>设备发货前，投标方参照技术协议进行，预验收合格，双方签订预验收报告后可发货。</w:t>
      </w:r>
    </w:p>
    <w:p w14:paraId="2F18A034">
      <w:pPr>
        <w:widowControl/>
        <w:ind w:firstLine="480" w:firstLineChars="200"/>
        <w:jc w:val="left"/>
        <w:rPr>
          <w:rFonts w:hint="eastAsia"/>
          <w:sz w:val="24"/>
          <w:lang w:eastAsia="zh-CN"/>
        </w:rPr>
      </w:pPr>
      <w:r>
        <w:rPr>
          <w:rFonts w:hint="eastAsia" w:ascii="宋体" w:hAnsi="宋体" w:eastAsia="宋体" w:cs="宋体"/>
          <w:kern w:val="0"/>
          <w:sz w:val="24"/>
        </w:rPr>
        <w:t>3.5</w:t>
      </w:r>
      <w:r>
        <w:rPr>
          <w:rFonts w:hint="eastAsia"/>
          <w:sz w:val="24"/>
        </w:rPr>
        <w:t>设备到货后，投标方派员在招标方免费进行安装调试，并对功能进行测试，检查产品配套设备情况</w:t>
      </w:r>
      <w:r>
        <w:rPr>
          <w:rFonts w:hint="eastAsia"/>
          <w:sz w:val="24"/>
          <w:lang w:eastAsia="zh-CN"/>
        </w:rPr>
        <w:t>。</w:t>
      </w:r>
    </w:p>
    <w:p w14:paraId="6B5B7FFE">
      <w:pPr>
        <w:widowControl/>
        <w:ind w:firstLine="480" w:firstLineChars="200"/>
        <w:jc w:val="left"/>
        <w:rPr>
          <w:rFonts w:hint="eastAsia" w:hAnsi="宋体" w:eastAsiaTheme="minorEastAsia"/>
          <w:color w:val="000000" w:themeColor="text1"/>
          <w:sz w:val="24"/>
          <w:szCs w:val="24"/>
          <w:highlight w:val="none"/>
          <w:lang w:val="en-US" w:eastAsia="zh-CN"/>
          <w14:textFill>
            <w14:solidFill>
              <w14:schemeClr w14:val="tx1"/>
            </w14:solidFill>
          </w14:textFill>
        </w:rPr>
      </w:pPr>
      <w:r>
        <w:rPr>
          <w:rFonts w:hint="eastAsia" w:ascii="宋体" w:hAnsi="宋体" w:eastAsia="宋体" w:cs="宋体"/>
          <w:kern w:val="0"/>
          <w:sz w:val="24"/>
          <w:lang w:val="en-US" w:eastAsia="zh-CN"/>
        </w:rPr>
        <w:t>3.6</w:t>
      </w:r>
      <w:r>
        <w:rPr>
          <w:rFonts w:hint="eastAsia" w:hAnsi="宋体"/>
          <w:color w:val="000000" w:themeColor="text1"/>
          <w:sz w:val="24"/>
          <w:szCs w:val="24"/>
          <w:highlight w:val="none"/>
          <w14:textFill>
            <w14:solidFill>
              <w14:schemeClr w14:val="tx1"/>
            </w14:solidFill>
          </w14:textFill>
        </w:rPr>
        <w:t>由具有</w:t>
      </w:r>
      <w:r>
        <w:rPr>
          <w:rFonts w:hint="eastAsia" w:hAnsi="宋体"/>
          <w:color w:val="000000" w:themeColor="text1"/>
          <w:sz w:val="24"/>
          <w:szCs w:val="24"/>
          <w:highlight w:val="none"/>
          <w:lang w:val="en-US" w:eastAsia="zh-CN"/>
          <w14:textFill>
            <w14:solidFill>
              <w14:schemeClr w14:val="tx1"/>
            </w14:solidFill>
          </w14:textFill>
        </w:rPr>
        <w:t>地市</w:t>
      </w:r>
      <w:r>
        <w:rPr>
          <w:rFonts w:hint="eastAsia" w:hAnsi="宋体"/>
          <w:color w:val="000000" w:themeColor="text1"/>
          <w:sz w:val="24"/>
          <w:szCs w:val="24"/>
          <w:highlight w:val="none"/>
          <w14:textFill>
            <w14:solidFill>
              <w14:schemeClr w14:val="tx1"/>
            </w14:solidFill>
          </w14:textFill>
        </w:rPr>
        <w:t>级以上的法定计量机构根据技术标准按国家、行业的相关标准及双方签订的技术协议执行，进行终验收，费用由</w:t>
      </w:r>
      <w:r>
        <w:rPr>
          <w:rFonts w:hint="eastAsia" w:hAnsi="宋体"/>
          <w:color w:val="000000" w:themeColor="text1"/>
          <w:sz w:val="24"/>
          <w:szCs w:val="24"/>
          <w:highlight w:val="none"/>
          <w:lang w:val="en-US" w:eastAsia="zh-CN"/>
          <w14:textFill>
            <w14:solidFill>
              <w14:schemeClr w14:val="tx1"/>
            </w14:solidFill>
          </w14:textFill>
        </w:rPr>
        <w:t>投标</w:t>
      </w:r>
      <w:r>
        <w:rPr>
          <w:rFonts w:hint="eastAsia" w:hAnsi="宋体"/>
          <w:color w:val="000000" w:themeColor="text1"/>
          <w:sz w:val="24"/>
          <w:szCs w:val="24"/>
          <w:highlight w:val="none"/>
          <w14:textFill>
            <w14:solidFill>
              <w14:schemeClr w14:val="tx1"/>
            </w14:solidFill>
          </w14:textFill>
        </w:rPr>
        <w:t>方支付</w:t>
      </w:r>
      <w:r>
        <w:rPr>
          <w:rFonts w:hint="eastAsia" w:hAnsi="宋体"/>
          <w:color w:val="000000" w:themeColor="text1"/>
          <w:sz w:val="24"/>
          <w:szCs w:val="24"/>
          <w:highlight w:val="none"/>
          <w:lang w:val="en-US" w:eastAsia="zh-CN"/>
          <w14:textFill>
            <w14:solidFill>
              <w14:schemeClr w14:val="tx1"/>
            </w14:solidFill>
          </w14:textFill>
        </w:rPr>
        <w:t>.</w:t>
      </w:r>
    </w:p>
    <w:p w14:paraId="03874A6F">
      <w:pPr>
        <w:widowControl/>
        <w:ind w:firstLine="480" w:firstLineChars="200"/>
        <w:jc w:val="left"/>
        <w:rPr>
          <w:sz w:val="24"/>
          <w:highlight w:val="none"/>
        </w:rPr>
      </w:pPr>
      <w:r>
        <w:rPr>
          <w:rFonts w:hint="eastAsia" w:ascii="宋体" w:hAnsi="宋体" w:eastAsia="宋体" w:cs="宋体"/>
          <w:kern w:val="0"/>
          <w:sz w:val="24"/>
          <w:highlight w:val="none"/>
        </w:rPr>
        <w:t>3.</w:t>
      </w:r>
      <w:r>
        <w:rPr>
          <w:rFonts w:hint="eastAsia" w:ascii="宋体" w:hAnsi="宋体" w:eastAsia="宋体" w:cs="宋体"/>
          <w:kern w:val="0"/>
          <w:sz w:val="24"/>
          <w:highlight w:val="none"/>
          <w:lang w:val="en-US" w:eastAsia="zh-CN"/>
        </w:rPr>
        <w:t>7</w:t>
      </w:r>
      <w:r>
        <w:rPr>
          <w:rFonts w:hint="eastAsia"/>
          <w:sz w:val="24"/>
          <w:highlight w:val="none"/>
        </w:rPr>
        <w:t>验收结论不合格时，后续产生的一切责任由投标方承担。</w:t>
      </w:r>
    </w:p>
    <w:p w14:paraId="2B09F3ED">
      <w:pPr>
        <w:widowControl/>
        <w:ind w:firstLine="480" w:firstLineChars="200"/>
        <w:jc w:val="left"/>
        <w:rPr>
          <w:rFonts w:hint="default" w:ascii="宋体" w:hAnsi="宋体" w:eastAsia="宋体" w:cs="宋体"/>
          <w:kern w:val="0"/>
          <w:sz w:val="24"/>
          <w:lang w:val="en-US" w:eastAsia="zh-CN"/>
        </w:rPr>
      </w:pPr>
      <w:r>
        <w:rPr>
          <w:rFonts w:hint="eastAsia" w:ascii="宋体" w:hAnsi="宋体" w:eastAsia="宋体" w:cs="宋体"/>
          <w:kern w:val="0"/>
          <w:sz w:val="24"/>
          <w:highlight w:val="none"/>
        </w:rPr>
        <w:t>3.</w:t>
      </w:r>
      <w:r>
        <w:rPr>
          <w:rFonts w:hint="eastAsia" w:ascii="宋体" w:hAnsi="宋体" w:eastAsia="宋体" w:cs="宋体"/>
          <w:kern w:val="0"/>
          <w:sz w:val="24"/>
          <w:highlight w:val="none"/>
          <w:lang w:val="en-US" w:eastAsia="zh-CN"/>
        </w:rPr>
        <w:t>8</w:t>
      </w:r>
      <w:r>
        <w:rPr>
          <w:rFonts w:hint="eastAsia"/>
          <w:sz w:val="24"/>
          <w:highlight w:val="none"/>
        </w:rPr>
        <w:t>双方签署终验收报告，视为设备验收完成，自双方签署终验收报告之日起开始计算质保期。</w:t>
      </w:r>
    </w:p>
    <w:p w14:paraId="72308977">
      <w:pPr>
        <w:widowControl/>
        <w:ind w:firstLine="480" w:firstLineChars="200"/>
        <w:jc w:val="left"/>
        <w:rPr>
          <w:sz w:val="24"/>
        </w:rPr>
      </w:pPr>
      <w:r>
        <w:rPr>
          <w:rFonts w:hint="eastAsia" w:ascii="宋体" w:hAnsi="宋体" w:eastAsia="宋体" w:cs="宋体"/>
          <w:kern w:val="0"/>
          <w:sz w:val="24"/>
        </w:rPr>
        <w:t>3.</w:t>
      </w:r>
      <w:r>
        <w:rPr>
          <w:rFonts w:hint="eastAsia" w:ascii="宋体" w:hAnsi="宋体" w:eastAsia="宋体" w:cs="宋体"/>
          <w:kern w:val="0"/>
          <w:sz w:val="24"/>
          <w:lang w:val="en-US" w:eastAsia="zh-CN"/>
        </w:rPr>
        <w:t>9</w:t>
      </w:r>
      <w:r>
        <w:rPr>
          <w:rFonts w:hint="eastAsia" w:eastAsia="宋体"/>
          <w:sz w:val="24"/>
        </w:rPr>
        <w:t>投标</w:t>
      </w:r>
      <w:r>
        <w:rPr>
          <w:rFonts w:hint="eastAsia"/>
          <w:sz w:val="24"/>
        </w:rPr>
        <w:t>方在没有征得招标方同意的情况下，不得设置锁机密码或其它的控制设备运转的措施</w:t>
      </w:r>
    </w:p>
    <w:p w14:paraId="4B168AC6">
      <w:pPr>
        <w:widowControl/>
        <w:ind w:firstLine="480" w:firstLineChars="200"/>
        <w:jc w:val="left"/>
        <w:rPr>
          <w:rFonts w:hint="eastAsia" w:ascii="宋体" w:hAnsi="宋体" w:eastAsia="宋体" w:cs="宋体"/>
          <w:kern w:val="0"/>
          <w:sz w:val="24"/>
        </w:rPr>
      </w:pPr>
    </w:p>
    <w:p w14:paraId="3AD6A12D">
      <w:pPr>
        <w:widowControl/>
        <w:ind w:firstLine="480" w:firstLineChars="200"/>
        <w:jc w:val="left"/>
      </w:pPr>
      <w:r>
        <w:rPr>
          <w:rFonts w:hint="eastAsia" w:ascii="黑体" w:hAnsi="宋体" w:eastAsia="黑体" w:cs="黑体"/>
          <w:kern w:val="0"/>
          <w:sz w:val="24"/>
        </w:rPr>
        <w:t>4 售后服务</w:t>
      </w:r>
    </w:p>
    <w:p w14:paraId="56F20D9E">
      <w:pPr>
        <w:widowControl/>
        <w:ind w:firstLine="480" w:firstLineChars="200"/>
        <w:jc w:val="left"/>
      </w:pPr>
      <w:r>
        <w:rPr>
          <w:rFonts w:hint="eastAsia" w:ascii="宋体" w:hAnsi="宋体" w:eastAsia="宋体" w:cs="宋体"/>
          <w:kern w:val="0"/>
          <w:sz w:val="24"/>
        </w:rPr>
        <w:t>4.1 所有的售后服务均由投标方受理。如果发生问题并且收到报告，投标方应当在 2 小时内予以答复。</w:t>
      </w:r>
    </w:p>
    <w:p w14:paraId="1F01512C">
      <w:pPr>
        <w:widowControl/>
        <w:ind w:firstLine="480" w:firstLineChars="200"/>
        <w:jc w:val="left"/>
      </w:pPr>
      <w:r>
        <w:rPr>
          <w:rFonts w:hint="eastAsia" w:ascii="宋体" w:hAnsi="宋体" w:eastAsia="宋体" w:cs="宋体"/>
          <w:kern w:val="0"/>
          <w:sz w:val="24"/>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1093D89C">
      <w:pPr>
        <w:widowControl/>
        <w:ind w:firstLine="480" w:firstLineChars="200"/>
        <w:jc w:val="left"/>
      </w:pPr>
      <w:r>
        <w:rPr>
          <w:rFonts w:hint="eastAsia" w:ascii="宋体" w:hAnsi="宋体" w:eastAsia="宋体" w:cs="宋体"/>
          <w:kern w:val="0"/>
          <w:sz w:val="24"/>
        </w:rPr>
        <w:t>4.3 投标方派往招标方使用现场的人员，应具有较高的业务素质；现场解决问题时，不得无故拖延或推迟，应为招标方提供最佳的服务。</w:t>
      </w:r>
    </w:p>
    <w:p w14:paraId="12E98110">
      <w:pPr>
        <w:widowControl/>
        <w:ind w:firstLine="480" w:firstLineChars="200"/>
        <w:jc w:val="left"/>
      </w:pPr>
      <w:r>
        <w:rPr>
          <w:rFonts w:hint="eastAsia" w:ascii="黑体" w:hAnsi="宋体" w:eastAsia="黑体" w:cs="黑体"/>
          <w:kern w:val="0"/>
          <w:sz w:val="24"/>
        </w:rPr>
        <w:t>5 其它服务</w:t>
      </w:r>
    </w:p>
    <w:p w14:paraId="2308F29E">
      <w:pPr>
        <w:widowControl/>
        <w:ind w:firstLine="480" w:firstLineChars="200"/>
        <w:jc w:val="left"/>
      </w:pPr>
      <w:r>
        <w:rPr>
          <w:rFonts w:hint="eastAsia" w:ascii="宋体" w:hAnsi="宋体" w:eastAsia="宋体" w:cs="宋体"/>
          <w:kern w:val="0"/>
          <w:sz w:val="24"/>
        </w:rPr>
        <w:t>5.1 若投标方所提供设备有需要进口的，投标方应自行、自费办理。</w:t>
      </w:r>
    </w:p>
    <w:p w14:paraId="29506CE5">
      <w:pPr>
        <w:widowControl/>
        <w:ind w:firstLine="480" w:firstLineChars="200"/>
        <w:jc w:val="left"/>
      </w:pPr>
      <w:r>
        <w:rPr>
          <w:rFonts w:hint="eastAsia" w:ascii="宋体" w:hAnsi="宋体" w:eastAsia="宋体" w:cs="宋体"/>
          <w:kern w:val="0"/>
          <w:sz w:val="24"/>
        </w:rPr>
        <w:t>5.2 除招标文件、投标文件、答疑文件、技术协议、合同等约定之外，投标方应免费负责必要的或强制性的设备的检验、试验、化验等直接费用。</w:t>
      </w:r>
    </w:p>
    <w:p w14:paraId="0D6E4A56">
      <w:pPr>
        <w:widowControl/>
        <w:ind w:firstLine="480" w:firstLineChars="200"/>
        <w:jc w:val="left"/>
      </w:pPr>
      <w:r>
        <w:rPr>
          <w:rFonts w:hint="eastAsia" w:ascii="宋体" w:hAnsi="宋体" w:eastAsia="宋体" w:cs="宋体"/>
          <w:kern w:val="0"/>
          <w:sz w:val="24"/>
        </w:rPr>
        <w:t>5.3 本章节条款所列“免费”，并非指定不可收费，而是指招标文件、投标文件、答疑文件、技术交流文件、技术协议书和合同等范围之外，投标方不可另行收取的费用。</w:t>
      </w:r>
    </w:p>
    <w:p w14:paraId="5B26811C">
      <w:pPr>
        <w:widowControl/>
        <w:ind w:firstLine="480" w:firstLineChars="200"/>
        <w:jc w:val="left"/>
      </w:pPr>
      <w:r>
        <w:rPr>
          <w:rFonts w:ascii="Times New Roman" w:hAnsi="Times New Roman" w:eastAsia="宋体" w:cs="Times New Roman"/>
          <w:kern w:val="0"/>
          <w:sz w:val="24"/>
        </w:rPr>
        <w:t xml:space="preserve">5.4 </w:t>
      </w:r>
      <w:r>
        <w:rPr>
          <w:rFonts w:hint="eastAsia" w:ascii="宋体" w:hAnsi="宋体" w:eastAsia="宋体" w:cs="宋体"/>
          <w:kern w:val="0"/>
          <w:sz w:val="24"/>
        </w:rPr>
        <w:t>投标方提供设备超出保质期后，售后服务费及计算方式。</w:t>
      </w:r>
    </w:p>
    <w:p w14:paraId="6F33EE07">
      <w:pPr>
        <w:widowControl/>
        <w:jc w:val="center"/>
      </w:pPr>
      <w:r>
        <w:rPr>
          <w:rFonts w:hint="eastAsia" w:ascii="黑体" w:hAnsi="宋体" w:eastAsia="黑体" w:cs="黑体"/>
          <w:kern w:val="0"/>
          <w:sz w:val="24"/>
        </w:rPr>
        <w:t>第五章预验收和终验收</w:t>
      </w:r>
    </w:p>
    <w:p w14:paraId="363F8119">
      <w:pPr>
        <w:widowControl/>
        <w:ind w:firstLine="480" w:firstLineChars="200"/>
        <w:jc w:val="left"/>
      </w:pPr>
      <w:r>
        <w:rPr>
          <w:rFonts w:hint="eastAsia" w:ascii="黑体" w:hAnsi="宋体" w:eastAsia="黑体" w:cs="黑体"/>
          <w:kern w:val="0"/>
          <w:sz w:val="24"/>
        </w:rPr>
        <w:t>1 验收的一般约定</w:t>
      </w:r>
    </w:p>
    <w:p w14:paraId="3D486DFB">
      <w:pPr>
        <w:widowControl/>
        <w:ind w:firstLine="480" w:firstLineChars="200"/>
        <w:jc w:val="left"/>
      </w:pPr>
      <w:r>
        <w:rPr>
          <w:rFonts w:hint="eastAsia" w:ascii="宋体" w:hAnsi="宋体" w:eastAsia="宋体" w:cs="宋体"/>
          <w:kern w:val="0"/>
          <w:sz w:val="24"/>
        </w:rPr>
        <w:t>1.1 验收标准一般以技术协议书和合同规定验收。</w:t>
      </w:r>
    </w:p>
    <w:p w14:paraId="1EAFFE1E">
      <w:pPr>
        <w:widowControl/>
        <w:ind w:firstLine="480" w:firstLineChars="200"/>
        <w:jc w:val="left"/>
      </w:pPr>
      <w:r>
        <w:rPr>
          <w:rFonts w:hint="eastAsia" w:ascii="宋体" w:hAnsi="宋体" w:eastAsia="宋体" w:cs="宋体"/>
          <w:kern w:val="0"/>
          <w:sz w:val="24"/>
        </w:rPr>
        <w:t>1.2 如果验收过程中，发现招标文件、投标文件、答疑文件、技术交流文件等与技术协议书、合同存在差异，原则上以涉及条款中对买方最有利条款为验收依据。</w:t>
      </w:r>
    </w:p>
    <w:p w14:paraId="60B486C2">
      <w:pPr>
        <w:widowControl/>
        <w:ind w:firstLine="480" w:firstLineChars="200"/>
        <w:jc w:val="left"/>
      </w:pPr>
      <w:r>
        <w:rPr>
          <w:rFonts w:hint="eastAsia" w:ascii="黑体" w:hAnsi="宋体" w:eastAsia="黑体" w:cs="黑体"/>
          <w:kern w:val="0"/>
          <w:sz w:val="24"/>
        </w:rPr>
        <w:t>2 检验</w:t>
      </w:r>
    </w:p>
    <w:p w14:paraId="08A2B3B8">
      <w:pPr>
        <w:widowControl/>
        <w:ind w:firstLine="480" w:firstLineChars="200"/>
        <w:jc w:val="left"/>
        <w:rPr>
          <w:sz w:val="24"/>
        </w:rPr>
      </w:pPr>
      <w:r>
        <w:rPr>
          <w:rFonts w:hint="eastAsia" w:ascii="宋体" w:hAnsi="宋体" w:eastAsia="宋体" w:cs="宋体"/>
          <w:kern w:val="0"/>
          <w:sz w:val="24"/>
        </w:rPr>
        <w:t xml:space="preserve">2.1 </w:t>
      </w:r>
      <w:r>
        <w:rPr>
          <w:rFonts w:hint="eastAsia"/>
          <w:sz w:val="24"/>
        </w:rPr>
        <w:t>由具有</w:t>
      </w:r>
      <w:r>
        <w:rPr>
          <w:rFonts w:hint="eastAsia"/>
          <w:sz w:val="24"/>
          <w:lang w:val="en-US" w:eastAsia="zh-CN"/>
        </w:rPr>
        <w:t>地</w:t>
      </w:r>
      <w:r>
        <w:rPr>
          <w:rFonts w:hint="eastAsia"/>
          <w:sz w:val="24"/>
        </w:rPr>
        <w:t>市级以上国家认可的法定计量机构根据技术标准按国家、行业的相关标准及双方签订的《技术协议》执行进行终验收，费用由投标方支付。</w:t>
      </w:r>
    </w:p>
    <w:p w14:paraId="64D55B41">
      <w:pPr>
        <w:widowControl/>
        <w:ind w:firstLine="420" w:firstLineChars="200"/>
        <w:jc w:val="left"/>
      </w:pPr>
    </w:p>
    <w:p w14:paraId="681ABC67">
      <w:pPr>
        <w:widowControl/>
        <w:ind w:firstLine="480" w:firstLineChars="200"/>
        <w:jc w:val="left"/>
      </w:pPr>
      <w:r>
        <w:rPr>
          <w:rFonts w:hint="eastAsia" w:ascii="黑体" w:hAnsi="宋体" w:eastAsia="黑体" w:cs="黑体"/>
          <w:kern w:val="0"/>
          <w:sz w:val="24"/>
        </w:rPr>
        <w:t>3 验收条件</w:t>
      </w:r>
    </w:p>
    <w:p w14:paraId="64BABBEB">
      <w:pPr>
        <w:widowControl/>
        <w:ind w:firstLine="480" w:firstLineChars="200"/>
        <w:jc w:val="left"/>
      </w:pPr>
      <w:r>
        <w:rPr>
          <w:rFonts w:hint="eastAsia" w:ascii="宋体" w:hAnsi="宋体" w:eastAsia="宋体" w:cs="宋体"/>
          <w:kern w:val="0"/>
          <w:sz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6AC813EA">
      <w:pPr>
        <w:widowControl/>
        <w:ind w:firstLine="480" w:firstLineChars="200"/>
        <w:jc w:val="left"/>
      </w:pPr>
      <w:r>
        <w:rPr>
          <w:rFonts w:hint="eastAsia" w:ascii="宋体" w:hAnsi="宋体" w:eastAsia="宋体" w:cs="宋体"/>
          <w:kern w:val="0"/>
          <w:sz w:val="24"/>
        </w:rPr>
        <w:t>买卖双方按照合同约定执行了合同，同时设备完成了试运行并经检验合格，则具备验收条件。</w:t>
      </w:r>
    </w:p>
    <w:p w14:paraId="18B0E747">
      <w:pPr>
        <w:widowControl/>
        <w:ind w:firstLine="480" w:firstLineChars="200"/>
        <w:jc w:val="left"/>
      </w:pPr>
      <w:r>
        <w:rPr>
          <w:rFonts w:hint="eastAsia" w:ascii="宋体" w:hAnsi="宋体" w:eastAsia="宋体" w:cs="宋体"/>
          <w:kern w:val="0"/>
          <w:sz w:val="24"/>
        </w:rPr>
        <w:t>3.1 预验收一般条件</w:t>
      </w:r>
    </w:p>
    <w:p w14:paraId="55A55E97">
      <w:pPr>
        <w:widowControl/>
        <w:ind w:firstLine="480" w:firstLineChars="200"/>
        <w:jc w:val="left"/>
      </w:pPr>
      <w:r>
        <w:rPr>
          <w:rFonts w:hint="eastAsia" w:ascii="宋体" w:hAnsi="宋体" w:eastAsia="宋体" w:cs="宋体"/>
          <w:kern w:val="0"/>
          <w:sz w:val="24"/>
        </w:rPr>
        <w:t>3.1.1 卖方已经按照“供货范围”要求提供了预验收资料，并且资料齐全、完整和有效。</w:t>
      </w:r>
    </w:p>
    <w:p w14:paraId="442AB1DA">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3.1.2 设备应运行稳定、可靠、安全，无非正常变形，非正常振动，无异常声音、漏电等现象。</w:t>
      </w:r>
    </w:p>
    <w:p w14:paraId="34F5E0B9">
      <w:pPr>
        <w:widowControl/>
        <w:ind w:firstLine="480" w:firstLineChars="200"/>
        <w:jc w:val="left"/>
      </w:pPr>
      <w:r>
        <w:rPr>
          <w:rFonts w:hint="eastAsia" w:ascii="宋体" w:hAnsi="宋体" w:eastAsia="宋体" w:cs="宋体"/>
          <w:kern w:val="0"/>
          <w:sz w:val="24"/>
        </w:rPr>
        <w:t>3.1.3 设备应完整且所有的零部件应该安装牢固，外观无损伤，所有的焊缝饱满、无残渣等缺陷。</w:t>
      </w:r>
    </w:p>
    <w:p w14:paraId="57BADB98">
      <w:pPr>
        <w:widowControl/>
        <w:ind w:firstLine="480" w:firstLineChars="200"/>
        <w:jc w:val="left"/>
      </w:pPr>
      <w:r>
        <w:rPr>
          <w:rFonts w:hint="eastAsia" w:ascii="宋体" w:hAnsi="宋体" w:eastAsia="宋体" w:cs="宋体"/>
          <w:kern w:val="0"/>
          <w:sz w:val="24"/>
        </w:rPr>
        <w:t>3.1.4 一般情况下，所有的管路和线缆等，接头应完全正确、可靠地联接；应排列有序（正确、牢固、整齐），有必要的防护，无皱褶、收缩和裂缝等不良现象。</w:t>
      </w:r>
    </w:p>
    <w:p w14:paraId="36872D83">
      <w:pPr>
        <w:widowControl/>
        <w:ind w:firstLine="480" w:firstLineChars="200"/>
        <w:jc w:val="left"/>
      </w:pPr>
      <w:r>
        <w:rPr>
          <w:rFonts w:hint="eastAsia" w:ascii="宋体" w:hAnsi="宋体" w:eastAsia="宋体" w:cs="宋体"/>
          <w:kern w:val="0"/>
          <w:sz w:val="24"/>
        </w:rPr>
        <w:t>3.1.5设备的油漆质量应饱满、有光泽，无掉漆、无色差、无“桔皮”等不良现象（特殊标志除外）。</w:t>
      </w:r>
    </w:p>
    <w:p w14:paraId="7AE9C584">
      <w:pPr>
        <w:widowControl/>
        <w:ind w:firstLine="480" w:firstLineChars="200"/>
        <w:jc w:val="left"/>
      </w:pPr>
      <w:r>
        <w:rPr>
          <w:rFonts w:hint="eastAsia" w:ascii="宋体" w:hAnsi="宋体" w:eastAsia="宋体" w:cs="宋体"/>
          <w:kern w:val="0"/>
          <w:sz w:val="24"/>
        </w:rPr>
        <w:t>3.1.6 设备标牌完整、清晰、明确。</w:t>
      </w:r>
    </w:p>
    <w:p w14:paraId="754B4B5E">
      <w:pPr>
        <w:widowControl/>
        <w:ind w:firstLine="480" w:firstLineChars="200"/>
        <w:jc w:val="left"/>
      </w:pPr>
      <w:r>
        <w:rPr>
          <w:rFonts w:hint="eastAsia" w:ascii="宋体" w:hAnsi="宋体" w:eastAsia="宋体" w:cs="宋体"/>
          <w:kern w:val="0"/>
          <w:sz w:val="24"/>
        </w:rPr>
        <w:t>3.1.7 地线联接和地极符合国际（ISO/IEC）标准规范。</w:t>
      </w:r>
    </w:p>
    <w:p w14:paraId="64973D12">
      <w:pPr>
        <w:widowControl/>
        <w:ind w:firstLine="480" w:firstLineChars="200"/>
        <w:jc w:val="left"/>
      </w:pPr>
      <w:r>
        <w:rPr>
          <w:rFonts w:hint="eastAsia" w:ascii="宋体" w:hAnsi="宋体" w:eastAsia="宋体" w:cs="宋体"/>
          <w:kern w:val="0"/>
          <w:sz w:val="24"/>
        </w:rPr>
        <w:t>3.1.8设备的安全要求符合中国最新的相关法律、法规、标准和规范以及合同要求，并递交相关检测报告。</w:t>
      </w:r>
    </w:p>
    <w:p w14:paraId="190ED959">
      <w:pPr>
        <w:widowControl/>
        <w:ind w:firstLine="480" w:firstLineChars="200"/>
        <w:jc w:val="left"/>
      </w:pPr>
      <w:r>
        <w:rPr>
          <w:rFonts w:hint="eastAsia" w:ascii="宋体" w:hAnsi="宋体" w:eastAsia="宋体" w:cs="宋体"/>
          <w:kern w:val="0"/>
          <w:sz w:val="24"/>
        </w:rPr>
        <w:t>3.2 终验收一般条件</w:t>
      </w:r>
    </w:p>
    <w:p w14:paraId="69B4DDD5">
      <w:pPr>
        <w:widowControl/>
        <w:ind w:firstLine="480" w:firstLineChars="200"/>
        <w:jc w:val="left"/>
      </w:pPr>
      <w:r>
        <w:rPr>
          <w:rFonts w:hint="eastAsia" w:ascii="宋体" w:hAnsi="宋体" w:eastAsia="宋体" w:cs="宋体"/>
          <w:kern w:val="0"/>
          <w:sz w:val="24"/>
        </w:rPr>
        <w:t>3.2.1 经过预验收而且没有出现新的质量问题，或者满足预验收条款。</w:t>
      </w:r>
    </w:p>
    <w:p w14:paraId="5AAF1E8D">
      <w:pPr>
        <w:widowControl/>
        <w:ind w:firstLine="480" w:firstLineChars="200"/>
        <w:jc w:val="left"/>
      </w:pPr>
      <w:r>
        <w:rPr>
          <w:rFonts w:hint="eastAsia" w:ascii="宋体" w:hAnsi="宋体" w:eastAsia="宋体" w:cs="宋体"/>
          <w:kern w:val="0"/>
          <w:sz w:val="24"/>
        </w:rPr>
        <w:t>3.2.2 设备安装调试完毕，并至少经过了验收要求的试运行。</w:t>
      </w:r>
    </w:p>
    <w:p w14:paraId="0B33EFD3">
      <w:pPr>
        <w:widowControl/>
        <w:ind w:firstLine="480" w:firstLineChars="200"/>
        <w:jc w:val="left"/>
        <w:rPr>
          <w:sz w:val="24"/>
        </w:rPr>
      </w:pPr>
      <w:r>
        <w:rPr>
          <w:rFonts w:hint="eastAsia" w:ascii="宋体" w:hAnsi="宋体" w:eastAsia="宋体" w:cs="宋体"/>
          <w:kern w:val="0"/>
          <w:sz w:val="24"/>
        </w:rPr>
        <w:t>3.2.3 设备</w:t>
      </w:r>
      <w:r>
        <w:rPr>
          <w:rFonts w:hint="eastAsia"/>
          <w:sz w:val="24"/>
        </w:rPr>
        <w:t>由具有</w:t>
      </w:r>
      <w:r>
        <w:rPr>
          <w:rFonts w:hint="eastAsia"/>
          <w:sz w:val="24"/>
          <w:lang w:val="en-US" w:eastAsia="zh-CN"/>
        </w:rPr>
        <w:t>地</w:t>
      </w:r>
      <w:r>
        <w:rPr>
          <w:rFonts w:hint="eastAsia"/>
          <w:sz w:val="24"/>
        </w:rPr>
        <w:t>市级以上国家认可的法定计量机构根据技术标准按国家、行业的相关标准进行检定，检定合格后双方按照签订的《技术协议》执行进行终验收。</w:t>
      </w:r>
    </w:p>
    <w:p w14:paraId="62843B01">
      <w:pPr>
        <w:widowControl/>
        <w:ind w:firstLine="480" w:firstLineChars="200"/>
        <w:jc w:val="left"/>
      </w:pPr>
      <w:r>
        <w:rPr>
          <w:rFonts w:hint="eastAsia" w:ascii="宋体" w:hAnsi="宋体" w:eastAsia="宋体" w:cs="宋体"/>
          <w:kern w:val="0"/>
          <w:sz w:val="24"/>
        </w:rPr>
        <w:t>3.2.4 计量仪器、仪表配套合理，采用中国的法定计量单位，计量准确、灵敏可靠。保证设计指标和仪器说明书的参数的实现。</w:t>
      </w:r>
    </w:p>
    <w:p w14:paraId="05D88EE7">
      <w:pPr>
        <w:widowControl/>
        <w:ind w:firstLine="480" w:firstLineChars="200"/>
        <w:jc w:val="left"/>
      </w:pPr>
      <w:r>
        <w:rPr>
          <w:rFonts w:hint="eastAsia" w:ascii="宋体" w:hAnsi="宋体" w:eastAsia="宋体" w:cs="宋体"/>
          <w:kern w:val="0"/>
          <w:sz w:val="24"/>
        </w:rPr>
        <w:t>3.2.5 试运行期间或之后无维修、调整等行为（特殊情况除外）。</w:t>
      </w:r>
    </w:p>
    <w:p w14:paraId="5FEED8DB">
      <w:pPr>
        <w:widowControl/>
        <w:ind w:firstLine="480" w:firstLineChars="200"/>
        <w:jc w:val="left"/>
      </w:pPr>
      <w:r>
        <w:rPr>
          <w:rFonts w:hint="eastAsia" w:ascii="宋体" w:hAnsi="宋体" w:eastAsia="宋体" w:cs="宋体"/>
          <w:kern w:val="0"/>
          <w:sz w:val="24"/>
        </w:rPr>
        <w:t>3.2.6 设备质量、技术性能等，达到签定的技术协议书和合同规定的终验收标准。</w:t>
      </w:r>
    </w:p>
    <w:p w14:paraId="69023873">
      <w:pPr>
        <w:widowControl/>
        <w:ind w:firstLine="480" w:firstLineChars="200"/>
        <w:jc w:val="left"/>
      </w:pPr>
      <w:r>
        <w:rPr>
          <w:rFonts w:hint="eastAsia" w:ascii="黑体" w:hAnsi="宋体" w:eastAsia="黑体" w:cs="黑体"/>
          <w:kern w:val="0"/>
          <w:sz w:val="24"/>
        </w:rPr>
        <w:t>4 终验收基本要求</w:t>
      </w:r>
    </w:p>
    <w:p w14:paraId="153C8D64">
      <w:pPr>
        <w:widowControl/>
        <w:ind w:firstLine="480" w:firstLineChars="200"/>
        <w:jc w:val="left"/>
        <w:rPr>
          <w:rFonts w:eastAsia="宋体"/>
        </w:rPr>
      </w:pPr>
      <w:r>
        <w:rPr>
          <w:rFonts w:hint="eastAsia" w:ascii="宋体" w:hAnsi="宋体" w:eastAsia="宋体" w:cs="宋体"/>
          <w:kern w:val="0"/>
          <w:sz w:val="24"/>
        </w:rPr>
        <w:t>4.1设备允许情况下，一般先连续空运转7小时，然后再进行负荷运行。</w:t>
      </w:r>
    </w:p>
    <w:p w14:paraId="4F08E13C">
      <w:pPr>
        <w:widowControl/>
        <w:ind w:firstLine="480" w:firstLineChars="200"/>
        <w:jc w:val="left"/>
        <w:rPr>
          <w:rFonts w:eastAsia="宋体"/>
        </w:rPr>
      </w:pPr>
      <w:r>
        <w:rPr>
          <w:rFonts w:hint="eastAsia" w:ascii="宋体" w:hAnsi="宋体" w:eastAsia="宋体" w:cs="宋体"/>
          <w:kern w:val="0"/>
          <w:sz w:val="24"/>
        </w:rPr>
        <w:t>4.2负荷运行时，设备应连续运行5天，除用户方面因素外，必须达到以下要求：</w:t>
      </w:r>
    </w:p>
    <w:p w14:paraId="22B5A592">
      <w:pPr>
        <w:widowControl/>
        <w:ind w:firstLine="480" w:firstLineChars="200"/>
        <w:jc w:val="left"/>
      </w:pPr>
      <w:r>
        <w:rPr>
          <w:rFonts w:hint="eastAsia" w:ascii="宋体" w:hAnsi="宋体" w:eastAsia="宋体" w:cs="宋体"/>
          <w:kern w:val="0"/>
          <w:sz w:val="24"/>
        </w:rPr>
        <w:t>4.2.1 在整个验收过程中没有维修、更换零部件或元件行为；</w:t>
      </w:r>
    </w:p>
    <w:p w14:paraId="2D9DA5A9">
      <w:pPr>
        <w:widowControl/>
        <w:ind w:firstLine="480" w:firstLineChars="200"/>
        <w:jc w:val="left"/>
      </w:pPr>
      <w:r>
        <w:rPr>
          <w:rFonts w:hint="eastAsia" w:ascii="宋体" w:hAnsi="宋体" w:eastAsia="宋体" w:cs="宋体"/>
          <w:kern w:val="0"/>
          <w:sz w:val="24"/>
        </w:rPr>
        <w:t>4.2.2 所有调整时间的总和不超过总运行时间的 5 %，如果超过 5%，则试运行时间重新计算；</w:t>
      </w:r>
    </w:p>
    <w:p w14:paraId="13E91326">
      <w:pPr>
        <w:widowControl/>
        <w:ind w:firstLine="480" w:firstLineChars="200"/>
        <w:jc w:val="left"/>
      </w:pPr>
      <w:r>
        <w:rPr>
          <w:rFonts w:hint="eastAsia" w:ascii="宋体" w:hAnsi="宋体" w:eastAsia="宋体" w:cs="宋体"/>
          <w:kern w:val="0"/>
          <w:sz w:val="24"/>
        </w:rPr>
        <w:t>4.2.3 终验收原则上要求一次完成。若一次验收不成功，最多允许两次。</w:t>
      </w:r>
    </w:p>
    <w:p w14:paraId="0D3E5E2B">
      <w:pPr>
        <w:widowControl/>
        <w:jc w:val="center"/>
        <w:rPr>
          <w:rFonts w:hint="eastAsia" w:ascii="黑体" w:hAnsi="宋体" w:eastAsia="黑体" w:cs="黑体"/>
          <w:kern w:val="0"/>
          <w:sz w:val="24"/>
        </w:rPr>
      </w:pPr>
    </w:p>
    <w:p w14:paraId="2CAF54D7">
      <w:pPr>
        <w:widowControl/>
        <w:jc w:val="center"/>
      </w:pPr>
      <w:r>
        <w:rPr>
          <w:rFonts w:hint="eastAsia" w:ascii="黑体" w:hAnsi="宋体" w:eastAsia="黑体" w:cs="黑体"/>
          <w:kern w:val="0"/>
          <w:sz w:val="24"/>
        </w:rPr>
        <w:t>第六章投标技术文件一般要求</w:t>
      </w:r>
    </w:p>
    <w:p w14:paraId="5D567EF1">
      <w:pPr>
        <w:widowControl/>
        <w:ind w:firstLine="480" w:firstLineChars="200"/>
        <w:jc w:val="left"/>
      </w:pPr>
      <w:r>
        <w:rPr>
          <w:rFonts w:hint="eastAsia" w:ascii="宋体" w:hAnsi="宋体" w:eastAsia="宋体" w:cs="宋体"/>
          <w:kern w:val="0"/>
          <w:sz w:val="24"/>
        </w:rPr>
        <w:t>1 投标方应认真阅读招标文件和本技术标书，并按要求编写投标技术文件。</w:t>
      </w:r>
    </w:p>
    <w:p w14:paraId="5A50BE4A">
      <w:pPr>
        <w:widowControl/>
        <w:ind w:firstLine="480" w:firstLineChars="200"/>
        <w:jc w:val="left"/>
      </w:pPr>
      <w:r>
        <w:rPr>
          <w:rFonts w:hint="eastAsia" w:ascii="宋体" w:hAnsi="宋体" w:eastAsia="宋体" w:cs="宋体"/>
          <w:kern w:val="0"/>
          <w:sz w:val="24"/>
        </w:rPr>
        <w:t>2 投标技术文件至少应对投标设备的“技术偏离”、“商务偏离”作出有无说明；若有，应予以详细填写和说明。</w:t>
      </w:r>
    </w:p>
    <w:p w14:paraId="66A0F572">
      <w:pPr>
        <w:widowControl/>
        <w:ind w:firstLine="480" w:firstLineChars="200"/>
        <w:jc w:val="left"/>
      </w:pPr>
      <w:r>
        <w:rPr>
          <w:rFonts w:hint="eastAsia" w:ascii="宋体" w:hAnsi="宋体" w:eastAsia="宋体" w:cs="宋体"/>
          <w:kern w:val="0"/>
          <w:sz w:val="24"/>
        </w:rPr>
        <w:t>3 投标技术文件至少应对投标设备的功能用途、技术性能、质量标准、技术参数等作出详细说明。</w:t>
      </w:r>
    </w:p>
    <w:p w14:paraId="47F50B14">
      <w:pPr>
        <w:widowControl/>
        <w:ind w:firstLine="480" w:firstLineChars="200"/>
        <w:jc w:val="left"/>
      </w:pPr>
      <w:r>
        <w:rPr>
          <w:rFonts w:hint="eastAsia" w:ascii="宋体" w:hAnsi="宋体" w:eastAsia="宋体" w:cs="宋体"/>
          <w:kern w:val="0"/>
          <w:sz w:val="24"/>
        </w:rPr>
        <w:t>4 投标技术文件至少应根据投标设备的关键设备、总成、零部件或系统作出优越性说明。</w:t>
      </w:r>
    </w:p>
    <w:p w14:paraId="1EB6D0FD">
      <w:pPr>
        <w:widowControl/>
        <w:ind w:firstLine="480" w:firstLineChars="200"/>
        <w:jc w:val="left"/>
        <w:rPr>
          <w:rFonts w:hint="eastAsia" w:ascii="宋体" w:hAnsi="宋体" w:eastAsia="宋体" w:cs="宋体"/>
          <w:kern w:val="0"/>
          <w:sz w:val="24"/>
        </w:rPr>
      </w:pPr>
      <w:r>
        <w:rPr>
          <w:rFonts w:hint="eastAsia" w:ascii="宋体" w:hAnsi="宋体" w:eastAsia="宋体" w:cs="宋体"/>
          <w:kern w:val="0"/>
          <w:sz w:val="24"/>
        </w:rPr>
        <w:t>5 投标技术文件至少应根据投标设备的配置，按照备品备件、易损件和专用耗材明细表要求以及投标设备主要配置一览表要求（见下表），认真全面填写。</w:t>
      </w:r>
    </w:p>
    <w:p w14:paraId="667C41C4">
      <w:pPr>
        <w:widowControl/>
        <w:ind w:firstLine="2160" w:firstLineChars="900"/>
        <w:jc w:val="left"/>
      </w:pPr>
      <w:r>
        <w:rPr>
          <w:rFonts w:hint="eastAsia" w:ascii="宋体" w:hAnsi="宋体" w:eastAsia="宋体" w:cs="宋体"/>
          <w:kern w:val="0"/>
          <w:sz w:val="24"/>
        </w:rPr>
        <w:t>投标设备主要配置一览表</w:t>
      </w:r>
      <w:r>
        <w:rPr>
          <w:rFonts w:hint="eastAsia" w:ascii="宋体" w:hAnsi="宋体" w:eastAsia="宋体" w:cs="宋体"/>
          <w:kern w:val="0"/>
          <w:sz w:val="20"/>
          <w:szCs w:val="20"/>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14:paraId="2C1A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47F3DD76">
            <w:pPr>
              <w:widowControl/>
              <w:jc w:val="center"/>
            </w:pPr>
            <w:r>
              <w:rPr>
                <w:rFonts w:hint="eastAsia" w:ascii="宋体" w:hAnsi="宋体" w:eastAsia="宋体" w:cs="宋体"/>
                <w:kern w:val="0"/>
                <w:sz w:val="20"/>
                <w:szCs w:val="20"/>
              </w:rPr>
              <w:t>名称</w:t>
            </w:r>
          </w:p>
        </w:tc>
        <w:tc>
          <w:tcPr>
            <w:tcW w:w="1064" w:type="dxa"/>
            <w:vAlign w:val="center"/>
          </w:tcPr>
          <w:p w14:paraId="7183C8DD">
            <w:pPr>
              <w:widowControl/>
              <w:jc w:val="center"/>
            </w:pPr>
            <w:r>
              <w:rPr>
                <w:rFonts w:hint="eastAsia" w:ascii="宋体" w:hAnsi="宋体" w:eastAsia="宋体" w:cs="宋体"/>
                <w:kern w:val="0"/>
                <w:sz w:val="20"/>
                <w:szCs w:val="20"/>
              </w:rPr>
              <w:t>型号规格</w:t>
            </w:r>
          </w:p>
        </w:tc>
        <w:tc>
          <w:tcPr>
            <w:tcW w:w="1064" w:type="dxa"/>
            <w:vAlign w:val="center"/>
          </w:tcPr>
          <w:p w14:paraId="67BDADAF">
            <w:pPr>
              <w:widowControl/>
              <w:jc w:val="center"/>
            </w:pPr>
            <w:r>
              <w:rPr>
                <w:rFonts w:hint="eastAsia" w:ascii="宋体" w:hAnsi="宋体" w:eastAsia="宋体" w:cs="宋体"/>
                <w:kern w:val="0"/>
                <w:sz w:val="20"/>
                <w:szCs w:val="20"/>
              </w:rPr>
              <w:t>单位</w:t>
            </w:r>
          </w:p>
        </w:tc>
        <w:tc>
          <w:tcPr>
            <w:tcW w:w="1064" w:type="dxa"/>
            <w:vAlign w:val="center"/>
          </w:tcPr>
          <w:p w14:paraId="72BD05E3">
            <w:pPr>
              <w:widowControl/>
              <w:jc w:val="center"/>
            </w:pPr>
            <w:r>
              <w:rPr>
                <w:rFonts w:hint="eastAsia" w:ascii="宋体" w:hAnsi="宋体" w:eastAsia="宋体" w:cs="宋体"/>
                <w:kern w:val="0"/>
                <w:sz w:val="20"/>
                <w:szCs w:val="20"/>
              </w:rPr>
              <w:t>数量</w:t>
            </w:r>
          </w:p>
        </w:tc>
        <w:tc>
          <w:tcPr>
            <w:tcW w:w="1065" w:type="dxa"/>
            <w:vAlign w:val="center"/>
          </w:tcPr>
          <w:p w14:paraId="5897C435">
            <w:pPr>
              <w:widowControl/>
              <w:jc w:val="center"/>
            </w:pPr>
            <w:r>
              <w:rPr>
                <w:rFonts w:hint="eastAsia" w:ascii="宋体" w:hAnsi="宋体" w:eastAsia="宋体" w:cs="宋体"/>
                <w:kern w:val="0"/>
                <w:sz w:val="20"/>
                <w:szCs w:val="20"/>
              </w:rPr>
              <w:t>单价</w:t>
            </w:r>
          </w:p>
        </w:tc>
        <w:tc>
          <w:tcPr>
            <w:tcW w:w="1065" w:type="dxa"/>
            <w:vAlign w:val="center"/>
          </w:tcPr>
          <w:p w14:paraId="514F1113">
            <w:pPr>
              <w:widowControl/>
              <w:jc w:val="center"/>
            </w:pPr>
            <w:r>
              <w:rPr>
                <w:rFonts w:hint="eastAsia" w:ascii="宋体" w:hAnsi="宋体" w:eastAsia="宋体" w:cs="宋体"/>
                <w:kern w:val="0"/>
                <w:sz w:val="20"/>
                <w:szCs w:val="20"/>
              </w:rPr>
              <w:t>总价</w:t>
            </w:r>
          </w:p>
        </w:tc>
        <w:tc>
          <w:tcPr>
            <w:tcW w:w="1766" w:type="dxa"/>
            <w:vAlign w:val="center"/>
          </w:tcPr>
          <w:p w14:paraId="614EEE5A">
            <w:pPr>
              <w:widowControl/>
              <w:jc w:val="center"/>
            </w:pPr>
            <w:r>
              <w:rPr>
                <w:rFonts w:hint="eastAsia" w:ascii="宋体" w:hAnsi="宋体" w:eastAsia="宋体" w:cs="宋体"/>
                <w:kern w:val="0"/>
                <w:sz w:val="20"/>
                <w:szCs w:val="20"/>
              </w:rPr>
              <w:t>制造商</w:t>
            </w:r>
          </w:p>
        </w:tc>
      </w:tr>
      <w:tr w14:paraId="78A6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1C5627BC">
            <w:pPr>
              <w:widowControl/>
              <w:jc w:val="center"/>
            </w:pPr>
          </w:p>
        </w:tc>
        <w:tc>
          <w:tcPr>
            <w:tcW w:w="1064" w:type="dxa"/>
          </w:tcPr>
          <w:p w14:paraId="303F21DA">
            <w:pPr>
              <w:widowControl/>
              <w:jc w:val="center"/>
            </w:pPr>
          </w:p>
        </w:tc>
        <w:tc>
          <w:tcPr>
            <w:tcW w:w="1064" w:type="dxa"/>
          </w:tcPr>
          <w:p w14:paraId="010277C6">
            <w:pPr>
              <w:widowControl/>
              <w:jc w:val="center"/>
            </w:pPr>
          </w:p>
        </w:tc>
        <w:tc>
          <w:tcPr>
            <w:tcW w:w="1064" w:type="dxa"/>
          </w:tcPr>
          <w:p w14:paraId="56B996A8">
            <w:pPr>
              <w:widowControl/>
              <w:jc w:val="center"/>
            </w:pPr>
          </w:p>
        </w:tc>
        <w:tc>
          <w:tcPr>
            <w:tcW w:w="1065" w:type="dxa"/>
          </w:tcPr>
          <w:p w14:paraId="28D59FEC">
            <w:pPr>
              <w:widowControl/>
              <w:jc w:val="center"/>
            </w:pPr>
          </w:p>
        </w:tc>
        <w:tc>
          <w:tcPr>
            <w:tcW w:w="1065" w:type="dxa"/>
          </w:tcPr>
          <w:p w14:paraId="2664ED76">
            <w:pPr>
              <w:widowControl/>
              <w:jc w:val="center"/>
            </w:pPr>
          </w:p>
        </w:tc>
        <w:tc>
          <w:tcPr>
            <w:tcW w:w="1766" w:type="dxa"/>
          </w:tcPr>
          <w:p w14:paraId="08F6A1B6">
            <w:pPr>
              <w:widowControl/>
              <w:jc w:val="center"/>
            </w:pPr>
          </w:p>
        </w:tc>
      </w:tr>
      <w:tr w14:paraId="012A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23E724FD">
            <w:pPr>
              <w:widowControl/>
              <w:jc w:val="center"/>
            </w:pPr>
          </w:p>
        </w:tc>
        <w:tc>
          <w:tcPr>
            <w:tcW w:w="1064" w:type="dxa"/>
          </w:tcPr>
          <w:p w14:paraId="7582CC35">
            <w:pPr>
              <w:widowControl/>
              <w:jc w:val="center"/>
            </w:pPr>
          </w:p>
        </w:tc>
        <w:tc>
          <w:tcPr>
            <w:tcW w:w="1064" w:type="dxa"/>
          </w:tcPr>
          <w:p w14:paraId="35E10657">
            <w:pPr>
              <w:widowControl/>
              <w:jc w:val="center"/>
            </w:pPr>
          </w:p>
        </w:tc>
        <w:tc>
          <w:tcPr>
            <w:tcW w:w="1064" w:type="dxa"/>
          </w:tcPr>
          <w:p w14:paraId="14BCFF77">
            <w:pPr>
              <w:widowControl/>
              <w:jc w:val="center"/>
            </w:pPr>
          </w:p>
        </w:tc>
        <w:tc>
          <w:tcPr>
            <w:tcW w:w="1065" w:type="dxa"/>
          </w:tcPr>
          <w:p w14:paraId="31A13320">
            <w:pPr>
              <w:widowControl/>
              <w:jc w:val="center"/>
            </w:pPr>
          </w:p>
        </w:tc>
        <w:tc>
          <w:tcPr>
            <w:tcW w:w="1065" w:type="dxa"/>
          </w:tcPr>
          <w:p w14:paraId="103323A0">
            <w:pPr>
              <w:widowControl/>
              <w:jc w:val="center"/>
            </w:pPr>
          </w:p>
        </w:tc>
        <w:tc>
          <w:tcPr>
            <w:tcW w:w="1766" w:type="dxa"/>
          </w:tcPr>
          <w:p w14:paraId="14EA722A">
            <w:pPr>
              <w:widowControl/>
              <w:jc w:val="center"/>
            </w:pPr>
          </w:p>
        </w:tc>
      </w:tr>
      <w:tr w14:paraId="7098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56D219FF">
            <w:pPr>
              <w:widowControl/>
              <w:jc w:val="center"/>
            </w:pPr>
          </w:p>
        </w:tc>
        <w:tc>
          <w:tcPr>
            <w:tcW w:w="1064" w:type="dxa"/>
          </w:tcPr>
          <w:p w14:paraId="553C374F">
            <w:pPr>
              <w:widowControl/>
              <w:jc w:val="center"/>
            </w:pPr>
          </w:p>
        </w:tc>
        <w:tc>
          <w:tcPr>
            <w:tcW w:w="1064" w:type="dxa"/>
          </w:tcPr>
          <w:p w14:paraId="0222B7AE">
            <w:pPr>
              <w:widowControl/>
              <w:jc w:val="center"/>
            </w:pPr>
          </w:p>
        </w:tc>
        <w:tc>
          <w:tcPr>
            <w:tcW w:w="1064" w:type="dxa"/>
          </w:tcPr>
          <w:p w14:paraId="08ED49DC">
            <w:pPr>
              <w:widowControl/>
              <w:jc w:val="center"/>
            </w:pPr>
          </w:p>
        </w:tc>
        <w:tc>
          <w:tcPr>
            <w:tcW w:w="1065" w:type="dxa"/>
          </w:tcPr>
          <w:p w14:paraId="12372085">
            <w:pPr>
              <w:widowControl/>
              <w:jc w:val="center"/>
            </w:pPr>
          </w:p>
        </w:tc>
        <w:tc>
          <w:tcPr>
            <w:tcW w:w="1065" w:type="dxa"/>
          </w:tcPr>
          <w:p w14:paraId="67E73D23">
            <w:pPr>
              <w:widowControl/>
              <w:jc w:val="center"/>
            </w:pPr>
          </w:p>
        </w:tc>
        <w:tc>
          <w:tcPr>
            <w:tcW w:w="1766" w:type="dxa"/>
          </w:tcPr>
          <w:p w14:paraId="2D214677">
            <w:pPr>
              <w:widowControl/>
              <w:jc w:val="center"/>
            </w:pPr>
          </w:p>
        </w:tc>
      </w:tr>
      <w:tr w14:paraId="03E4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384E6324">
            <w:pPr>
              <w:widowControl/>
              <w:jc w:val="center"/>
            </w:pPr>
          </w:p>
        </w:tc>
        <w:tc>
          <w:tcPr>
            <w:tcW w:w="1064" w:type="dxa"/>
          </w:tcPr>
          <w:p w14:paraId="323E2DAD">
            <w:pPr>
              <w:widowControl/>
              <w:jc w:val="center"/>
            </w:pPr>
          </w:p>
        </w:tc>
        <w:tc>
          <w:tcPr>
            <w:tcW w:w="1064" w:type="dxa"/>
          </w:tcPr>
          <w:p w14:paraId="166B1846">
            <w:pPr>
              <w:widowControl/>
              <w:jc w:val="center"/>
            </w:pPr>
          </w:p>
        </w:tc>
        <w:tc>
          <w:tcPr>
            <w:tcW w:w="1064" w:type="dxa"/>
          </w:tcPr>
          <w:p w14:paraId="258EE16A">
            <w:pPr>
              <w:widowControl/>
              <w:jc w:val="center"/>
            </w:pPr>
          </w:p>
        </w:tc>
        <w:tc>
          <w:tcPr>
            <w:tcW w:w="1065" w:type="dxa"/>
          </w:tcPr>
          <w:p w14:paraId="756A6AE2">
            <w:pPr>
              <w:widowControl/>
              <w:jc w:val="center"/>
            </w:pPr>
          </w:p>
        </w:tc>
        <w:tc>
          <w:tcPr>
            <w:tcW w:w="1065" w:type="dxa"/>
          </w:tcPr>
          <w:p w14:paraId="0E9355F8">
            <w:pPr>
              <w:widowControl/>
              <w:jc w:val="center"/>
            </w:pPr>
          </w:p>
        </w:tc>
        <w:tc>
          <w:tcPr>
            <w:tcW w:w="1766" w:type="dxa"/>
          </w:tcPr>
          <w:p w14:paraId="4555B3EE">
            <w:pPr>
              <w:widowControl/>
              <w:jc w:val="center"/>
            </w:pPr>
          </w:p>
        </w:tc>
      </w:tr>
    </w:tbl>
    <w:p w14:paraId="71B83B08">
      <w:pPr>
        <w:widowControl/>
        <w:jc w:val="left"/>
      </w:pPr>
    </w:p>
    <w:p w14:paraId="43BD87A9">
      <w:pPr>
        <w:widowControl/>
        <w:jc w:val="left"/>
      </w:pPr>
      <w:r>
        <w:rPr>
          <w:rFonts w:hint="eastAsia" w:ascii="宋体" w:hAnsi="宋体" w:eastAsia="宋体" w:cs="宋体"/>
          <w:kern w:val="0"/>
          <w:sz w:val="20"/>
          <w:szCs w:val="20"/>
        </w:rPr>
        <w:t>备注：本表作为投标方编制投标技术文件的一般格式。表中应当尽可能将配置列全、列细，这</w:t>
      </w:r>
    </w:p>
    <w:p w14:paraId="590A2BA5">
      <w:pPr>
        <w:widowControl/>
        <w:jc w:val="left"/>
      </w:pPr>
      <w:r>
        <w:rPr>
          <w:rFonts w:hint="eastAsia" w:ascii="宋体" w:hAnsi="宋体" w:eastAsia="宋体" w:cs="宋体"/>
          <w:kern w:val="0"/>
          <w:sz w:val="20"/>
          <w:szCs w:val="20"/>
        </w:rPr>
        <w:t>将有助于投标方胜出。</w:t>
      </w:r>
    </w:p>
    <w:p w14:paraId="76393D31">
      <w:pPr>
        <w:widowControl/>
        <w:ind w:firstLine="480" w:firstLineChars="200"/>
        <w:jc w:val="left"/>
      </w:pPr>
      <w:r>
        <w:rPr>
          <w:rFonts w:hint="eastAsia" w:ascii="宋体" w:hAnsi="宋体" w:eastAsia="宋体" w:cs="宋体"/>
          <w:kern w:val="0"/>
          <w:sz w:val="24"/>
        </w:rPr>
        <w:t>6 投标技术文件至少应对招标文件和本技术标书所提出的要求，将投标方认为难以满足的条款和要求，予以明确和详细的说明或澄清。</w:t>
      </w:r>
    </w:p>
    <w:p w14:paraId="0CED825B">
      <w:pPr>
        <w:widowControl/>
        <w:ind w:firstLine="480" w:firstLineChars="200"/>
        <w:jc w:val="left"/>
      </w:pPr>
      <w:r>
        <w:rPr>
          <w:rFonts w:hint="eastAsia" w:ascii="宋体" w:hAnsi="宋体" w:eastAsia="宋体" w:cs="宋体"/>
          <w:kern w:val="0"/>
          <w:sz w:val="24"/>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0EAE92C9">
      <w:pPr>
        <w:widowControl/>
        <w:ind w:firstLine="480" w:firstLineChars="200"/>
        <w:jc w:val="left"/>
      </w:pPr>
      <w:r>
        <w:rPr>
          <w:rFonts w:hint="eastAsia" w:ascii="宋体" w:hAnsi="宋体" w:eastAsia="宋体" w:cs="宋体"/>
          <w:kern w:val="0"/>
          <w:sz w:val="24"/>
        </w:rPr>
        <w:t>8 供货范围内的物品或服务，应当尽可能详细且分类填入配置表，其费用应当计入投标总报价之内。如果出现不一致的报价，将有可能导致废标。</w:t>
      </w:r>
    </w:p>
    <w:p w14:paraId="5A41E58F">
      <w:pPr>
        <w:widowControl/>
        <w:ind w:firstLine="480" w:firstLineChars="200"/>
        <w:jc w:val="left"/>
      </w:pPr>
      <w:r>
        <w:rPr>
          <w:rFonts w:hint="eastAsia" w:ascii="宋体" w:hAnsi="宋体" w:eastAsia="宋体" w:cs="宋体"/>
          <w:kern w:val="0"/>
          <w:sz w:val="24"/>
        </w:rPr>
        <w:t>9 除招标文件明确的验收标准或内容之外，投标方应当在投标文件中提供预验收（必要时）和终验收的标准以及规程，在合同签定之前，经投标方和招标方双方洽谈确认并签署，以作为验收标准执行。</w:t>
      </w:r>
    </w:p>
    <w:p w14:paraId="2D109629">
      <w:pPr>
        <w:widowControl/>
        <w:jc w:val="center"/>
      </w:pPr>
      <w:r>
        <w:rPr>
          <w:rFonts w:hint="eastAsia" w:ascii="黑体" w:hAnsi="宋体" w:eastAsia="黑体" w:cs="黑体"/>
          <w:b/>
          <w:bCs/>
          <w:kern w:val="0"/>
          <w:sz w:val="24"/>
        </w:rPr>
        <w:t>第七章其它要求</w:t>
      </w:r>
    </w:p>
    <w:p w14:paraId="705D7C5B">
      <w:pPr>
        <w:widowControl/>
        <w:ind w:firstLine="480" w:firstLineChars="200"/>
        <w:jc w:val="left"/>
      </w:pPr>
      <w:r>
        <w:rPr>
          <w:rFonts w:hint="eastAsia" w:ascii="黑体" w:hAnsi="宋体" w:eastAsia="黑体" w:cs="黑体"/>
          <w:kern w:val="0"/>
          <w:sz w:val="24"/>
        </w:rPr>
        <w:t>1 特殊要求</w:t>
      </w:r>
    </w:p>
    <w:p w14:paraId="4D78AA9D">
      <w:pPr>
        <w:widowControl/>
        <w:ind w:firstLine="480" w:firstLineChars="200"/>
        <w:jc w:val="left"/>
      </w:pPr>
      <w:r>
        <w:rPr>
          <w:rFonts w:hint="eastAsia" w:ascii="宋体" w:hAnsi="宋体" w:eastAsia="宋体" w:cs="宋体"/>
          <w:kern w:val="0"/>
          <w:sz w:val="24"/>
        </w:rPr>
        <w:t>为保证本技术标书所列采购设备的质量以及先进性、可靠性、经济性和实用性，要求投标方在投标文件中，至少应具备以下资格证明文件或资料：</w:t>
      </w:r>
    </w:p>
    <w:p w14:paraId="2936371B">
      <w:pPr>
        <w:widowControl/>
        <w:ind w:firstLine="480" w:firstLineChars="200"/>
        <w:jc w:val="left"/>
      </w:pPr>
      <w:r>
        <w:rPr>
          <w:rFonts w:hint="eastAsia" w:ascii="宋体" w:hAnsi="宋体" w:eastAsia="宋体" w:cs="宋体"/>
          <w:kern w:val="0"/>
          <w:sz w:val="24"/>
        </w:rPr>
        <w:t>1.1 投标方应是通过有关资格认证的单位，因此应附有有效期内的资格认证证书，如：</w:t>
      </w:r>
      <w:r>
        <w:rPr>
          <w:rFonts w:ascii="Times New Roman" w:hAnsi="Times New Roman" w:eastAsia="宋体" w:cs="Times New Roman"/>
          <w:kern w:val="0"/>
          <w:sz w:val="24"/>
        </w:rPr>
        <w:t>ISO9001</w:t>
      </w:r>
      <w:r>
        <w:rPr>
          <w:rFonts w:hint="eastAsia" w:ascii="宋体" w:hAnsi="宋体" w:eastAsia="宋体" w:cs="宋体"/>
          <w:kern w:val="0"/>
          <w:sz w:val="24"/>
        </w:rPr>
        <w:t>、</w:t>
      </w:r>
      <w:r>
        <w:rPr>
          <w:rFonts w:ascii="Times New Roman" w:hAnsi="Times New Roman" w:eastAsia="宋体" w:cs="Times New Roman"/>
          <w:kern w:val="0"/>
          <w:sz w:val="24"/>
        </w:rPr>
        <w:t>VDA6.1</w:t>
      </w:r>
      <w:r>
        <w:rPr>
          <w:rFonts w:hint="eastAsia" w:ascii="宋体" w:hAnsi="宋体" w:eastAsia="宋体" w:cs="宋体"/>
          <w:kern w:val="0"/>
          <w:sz w:val="24"/>
        </w:rPr>
        <w:t>、</w:t>
      </w:r>
      <w:r>
        <w:rPr>
          <w:rFonts w:ascii="Times New Roman" w:hAnsi="Times New Roman" w:eastAsia="宋体" w:cs="Times New Roman"/>
          <w:kern w:val="0"/>
          <w:sz w:val="24"/>
        </w:rPr>
        <w:t xml:space="preserve">QS9000 </w:t>
      </w:r>
      <w:r>
        <w:rPr>
          <w:rFonts w:hint="eastAsia" w:ascii="宋体" w:hAnsi="宋体" w:eastAsia="宋体" w:cs="宋体"/>
          <w:kern w:val="0"/>
          <w:sz w:val="24"/>
        </w:rPr>
        <w:t>等。</w:t>
      </w:r>
    </w:p>
    <w:p w14:paraId="1FECDA22">
      <w:pPr>
        <w:widowControl/>
        <w:ind w:firstLine="480" w:firstLineChars="200"/>
        <w:jc w:val="left"/>
      </w:pPr>
      <w:r>
        <w:rPr>
          <w:rFonts w:hint="eastAsia" w:ascii="宋体" w:hAnsi="宋体" w:eastAsia="宋体" w:cs="宋体"/>
          <w:kern w:val="0"/>
          <w:sz w:val="24"/>
        </w:rPr>
        <w:t>1.2 国产设备应附有采购货物（或设备）涉及的由“中国质量认证中心”颁发的《中国国家强制性产品认证证书》（CCC 证书）。</w:t>
      </w:r>
    </w:p>
    <w:p w14:paraId="5C78FD3A">
      <w:pPr>
        <w:widowControl/>
        <w:ind w:firstLine="480" w:firstLineChars="200"/>
        <w:jc w:val="left"/>
      </w:pPr>
      <w:r>
        <w:rPr>
          <w:rFonts w:hint="eastAsia" w:ascii="宋体" w:hAnsi="宋体" w:eastAsia="宋体" w:cs="宋体"/>
          <w:kern w:val="0"/>
          <w:sz w:val="24"/>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289780B9">
      <w:pPr>
        <w:widowControl/>
        <w:ind w:firstLine="480" w:firstLineChars="200"/>
        <w:jc w:val="left"/>
      </w:pPr>
      <w:r>
        <w:rPr>
          <w:rFonts w:hint="eastAsia" w:ascii="宋体" w:hAnsi="宋体" w:eastAsia="宋体" w:cs="宋体"/>
          <w:kern w:val="0"/>
          <w:sz w:val="24"/>
        </w:rPr>
        <w:t>1.4 应附有其它与投标单位、采购设备有关的荣誉证书或资料。</w:t>
      </w:r>
    </w:p>
    <w:p w14:paraId="57320D33">
      <w:pPr>
        <w:widowControl/>
        <w:ind w:firstLine="480" w:firstLineChars="200"/>
        <w:jc w:val="left"/>
      </w:pPr>
      <w:r>
        <w:rPr>
          <w:rFonts w:hint="eastAsia" w:ascii="宋体" w:hAnsi="宋体" w:eastAsia="宋体" w:cs="宋体"/>
          <w:kern w:val="0"/>
          <w:sz w:val="24"/>
        </w:rPr>
        <w:t>1.5 应附有中国相关国家部委颁发的有效期之内所必需的《生产许可证》。</w:t>
      </w:r>
    </w:p>
    <w:p w14:paraId="36314F1F">
      <w:pPr>
        <w:widowControl/>
        <w:ind w:firstLine="480" w:firstLineChars="200"/>
        <w:jc w:val="left"/>
      </w:pPr>
      <w:r>
        <w:rPr>
          <w:rFonts w:hint="eastAsia" w:ascii="宋体" w:hAnsi="宋体" w:eastAsia="宋体" w:cs="宋体"/>
          <w:kern w:val="0"/>
          <w:sz w:val="24"/>
        </w:rPr>
        <w:t>1.6 应附有必要的采购货物（或设备）的相关检验、试验报告，如：《型式试验的检验报告》、《产品鉴定证书》、《新技术成果证书》等。</w:t>
      </w:r>
    </w:p>
    <w:p w14:paraId="1CB519D4">
      <w:pPr>
        <w:widowControl/>
        <w:ind w:firstLine="480" w:firstLineChars="200"/>
        <w:jc w:val="left"/>
      </w:pPr>
      <w:r>
        <w:rPr>
          <w:rFonts w:hint="eastAsia" w:ascii="宋体" w:hAnsi="宋体" w:eastAsia="宋体" w:cs="宋体"/>
          <w:kern w:val="0"/>
          <w:sz w:val="24"/>
        </w:rPr>
        <w:t>1.7 投标方必须附有采购货物（或设备）涉及国家规定必须进行的检验、试验报告等。</w:t>
      </w:r>
    </w:p>
    <w:p w14:paraId="6AAC8B04">
      <w:pPr>
        <w:widowControl/>
        <w:ind w:firstLine="480" w:firstLineChars="200"/>
        <w:jc w:val="left"/>
      </w:pPr>
      <w:r>
        <w:rPr>
          <w:rFonts w:hint="eastAsia" w:ascii="宋体" w:hAnsi="宋体" w:eastAsia="宋体" w:cs="宋体"/>
          <w:kern w:val="0"/>
          <w:sz w:val="24"/>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785E10B6">
      <w:pPr>
        <w:widowControl/>
        <w:ind w:firstLine="480" w:firstLineChars="200"/>
        <w:jc w:val="left"/>
      </w:pPr>
      <w:r>
        <w:rPr>
          <w:rFonts w:hint="eastAsia" w:ascii="黑体" w:hAnsi="宋体" w:eastAsia="黑体" w:cs="黑体"/>
          <w:kern w:val="0"/>
          <w:sz w:val="24"/>
        </w:rPr>
        <w:t>2 说明</w:t>
      </w:r>
    </w:p>
    <w:p w14:paraId="4BB40469">
      <w:pPr>
        <w:widowControl/>
        <w:ind w:firstLine="480" w:firstLineChars="200"/>
        <w:jc w:val="left"/>
      </w:pPr>
      <w:r>
        <w:rPr>
          <w:rFonts w:hint="eastAsia" w:ascii="宋体" w:hAnsi="宋体" w:eastAsia="宋体" w:cs="宋体"/>
          <w:kern w:val="0"/>
          <w:sz w:val="24"/>
        </w:rPr>
        <w:t>2.1 投标方可以根据自身的技术、经验等优势以及对招标文件和本技术标书的理解，写明对招标方所采购设备的优化方案或建议意见。投标方的这些努力，招标方表示感谢，并将有助于投标方优先胜出。</w:t>
      </w:r>
    </w:p>
    <w:p w14:paraId="541A185E">
      <w:pPr>
        <w:widowControl/>
        <w:ind w:firstLine="480" w:firstLineChars="200"/>
        <w:jc w:val="left"/>
      </w:pPr>
      <w:r>
        <w:rPr>
          <w:rFonts w:hint="eastAsia" w:ascii="宋体" w:hAnsi="宋体" w:eastAsia="宋体" w:cs="宋体"/>
          <w:kern w:val="0"/>
          <w:sz w:val="24"/>
        </w:rPr>
        <w:t>2.2 即使有建议意见或建议方案，仍应依据招标文件和本技术标书要求，编写符合要求的投标文件。建议方案或建议意见，应以单独篇章或文件，予以说明。</w:t>
      </w:r>
    </w:p>
    <w:p w14:paraId="0825C164">
      <w:pPr>
        <w:widowControl/>
        <w:ind w:firstLine="480" w:firstLineChars="200"/>
        <w:jc w:val="left"/>
      </w:pPr>
      <w:r>
        <w:rPr>
          <w:rFonts w:hint="eastAsia" w:ascii="宋体" w:hAnsi="宋体" w:eastAsia="宋体" w:cs="宋体"/>
          <w:kern w:val="0"/>
          <w:sz w:val="24"/>
        </w:rPr>
        <w:t>2.3 请投标方仔细阅读“采购货物概况”章节内说明，针对允许分投分中的设备，招标方有权利选择其中优秀设备或服务，作为投标方合同供货范围中的指定选用设备或服务（替代投标方分投而未中标部分）。</w:t>
      </w:r>
    </w:p>
    <w:p w14:paraId="2B78DABE">
      <w:pPr>
        <w:widowControl/>
        <w:ind w:firstLine="480" w:firstLineChars="200"/>
        <w:jc w:val="left"/>
      </w:pPr>
      <w:r>
        <w:rPr>
          <w:rFonts w:hint="eastAsia" w:ascii="宋体" w:hAnsi="宋体" w:eastAsia="宋体" w:cs="宋体"/>
          <w:kern w:val="0"/>
          <w:sz w:val="24"/>
        </w:rPr>
        <w:t>2.4 招标文件、投标文件、答疑文件、技术交流文件、技术协议书等，在招标过程全部为有效文件，如有差异，以对招标方或买方最有利的条款为准。</w:t>
      </w:r>
    </w:p>
    <w:p w14:paraId="31A144E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kern w:val="0"/>
          <w:sz w:val="24"/>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67C4B0AC">
      <w:pPr>
        <w:rPr>
          <w:rFonts w:hint="eastAsia"/>
          <w:color w:val="000000" w:themeColor="text1"/>
          <w:highlight w:val="none"/>
          <w14:textFill>
            <w14:solidFill>
              <w14:schemeClr w14:val="tx1"/>
            </w14:solidFill>
          </w14:textFill>
        </w:rPr>
      </w:pPr>
    </w:p>
    <w:p w14:paraId="19A001A8">
      <w:pPr>
        <w:rPr>
          <w:rFonts w:hint="eastAsia"/>
          <w:color w:val="000000" w:themeColor="text1"/>
          <w:highlight w:val="none"/>
          <w14:textFill>
            <w14:solidFill>
              <w14:schemeClr w14:val="tx1"/>
            </w14:solidFill>
          </w14:textFill>
        </w:rPr>
      </w:pPr>
    </w:p>
    <w:p w14:paraId="20971316">
      <w:pPr>
        <w:rPr>
          <w:rFonts w:hint="eastAsia"/>
          <w:color w:val="000000" w:themeColor="text1"/>
          <w:highlight w:val="none"/>
          <w14:textFill>
            <w14:solidFill>
              <w14:schemeClr w14:val="tx1"/>
            </w14:solidFill>
          </w14:textFill>
        </w:rPr>
      </w:pPr>
    </w:p>
    <w:p w14:paraId="13A4E3EC">
      <w:pPr>
        <w:rPr>
          <w:rFonts w:hint="eastAsia"/>
          <w:color w:val="000000" w:themeColor="text1"/>
          <w:highlight w:val="none"/>
          <w14:textFill>
            <w14:solidFill>
              <w14:schemeClr w14:val="tx1"/>
            </w14:solidFill>
          </w14:textFill>
        </w:rPr>
      </w:pPr>
    </w:p>
    <w:p w14:paraId="630C096D">
      <w:pPr>
        <w:rPr>
          <w:rFonts w:hint="eastAsia"/>
          <w:color w:val="000000" w:themeColor="text1"/>
          <w:highlight w:val="none"/>
          <w14:textFill>
            <w14:solidFill>
              <w14:schemeClr w14:val="tx1"/>
            </w14:solidFill>
          </w14:textFill>
        </w:rPr>
      </w:pPr>
    </w:p>
    <w:p w14:paraId="1AFE076C">
      <w:pPr>
        <w:rPr>
          <w:rFonts w:hint="eastAsia"/>
          <w:color w:val="000000" w:themeColor="text1"/>
          <w:highlight w:val="none"/>
          <w14:textFill>
            <w14:solidFill>
              <w14:schemeClr w14:val="tx1"/>
            </w14:solidFill>
          </w14:textFill>
        </w:rPr>
      </w:pPr>
    </w:p>
    <w:p w14:paraId="4A0006B7">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0C74FE87">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0F6E86FE">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w:t>
      </w:r>
      <w:r>
        <w:rPr>
          <w:rFonts w:hint="eastAsia" w:ascii="宋体" w:hAnsi="宋体" w:eastAsia="宋体" w:cs="Times New Roman"/>
          <w:b/>
          <w:color w:val="000000" w:themeColor="text1"/>
          <w:sz w:val="36"/>
          <w:szCs w:val="36"/>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 w:val="36"/>
          <w:szCs w:val="36"/>
          <w:highlight w:val="none"/>
          <w14:textFill>
            <w14:solidFill>
              <w14:schemeClr w14:val="tx1"/>
            </w14:solidFill>
          </w14:textFill>
        </w:rPr>
        <w:t>设备采购合同</w:t>
      </w:r>
      <w:bookmarkEnd w:id="33"/>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方正小标宋简体" w:hAnsi="宋体" w:eastAsia="方正小标宋简体"/>
          <w:color w:val="000000" w:themeColor="text1"/>
          <w:sz w:val="24"/>
          <w:szCs w:val="24"/>
          <w:highlight w:val="none"/>
          <w14:textFill>
            <w14:solidFill>
              <w14:schemeClr w14:val="tx1"/>
            </w14:solidFill>
          </w14:textFill>
        </w:rPr>
      </w:pPr>
      <w:bookmarkStart w:id="34" w:name="_Toc24623"/>
      <w:bookmarkStart w:id="35" w:name="_Toc3778"/>
      <w:bookmarkStart w:id="36" w:name="_Toc16330037"/>
      <w:bookmarkStart w:id="37" w:name="_Toc5379"/>
      <w:bookmarkStart w:id="38" w:name="_Toc25120"/>
      <w:r>
        <w:rPr>
          <w:rFonts w:hint="eastAsia" w:ascii="方正小标宋简体" w:hAnsi="宋体" w:eastAsia="方正小标宋简体"/>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r>
        <w:rPr>
          <w:rFonts w:hint="eastAsia" w:ascii="方正小标宋简体" w:hAnsi="宋体" w:eastAsia="方正小标宋简体"/>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18AAB2A">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方正小标宋简体" w:hAnsi="宋体" w:eastAsia="方正小标宋简体" w:cs="Times New Roman"/>
          <w:color w:val="000000" w:themeColor="text1"/>
          <w:sz w:val="24"/>
          <w:szCs w:val="24"/>
          <w:highlight w:val="none"/>
          <w:u w:val="thick"/>
          <w14:textFill>
            <w14:solidFill>
              <w14:schemeClr w14:val="tx1"/>
            </w14:solidFill>
          </w14:textFill>
        </w:rPr>
      </w:pPr>
      <w:r>
        <w:rPr>
          <w:rFonts w:hint="eastAsia" w:ascii="方正小标宋简体" w:hAnsi="宋体" w:eastAsia="方正小标宋简体"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方正小标宋简体" w:hAnsi="宋体" w:eastAsia="方正小标宋简体"/>
          <w:color w:val="000000" w:themeColor="text1"/>
          <w:sz w:val="24"/>
          <w:szCs w:val="24"/>
          <w:highlight w:val="none"/>
          <w14:textFill>
            <w14:solidFill>
              <w14:schemeClr w14:val="tx1"/>
            </w14:solidFill>
          </w14:textFill>
        </w:rPr>
      </w:pPr>
    </w:p>
    <w:p w14:paraId="0B8149B6">
      <w:pPr>
        <w:adjustRightInd w:val="0"/>
        <w:snapToGrid w:val="0"/>
        <w:spacing w:line="360" w:lineRule="auto"/>
        <w:ind w:firstLine="2107" w:firstLineChars="878"/>
        <w:jc w:val="left"/>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r>
        <w:rPr>
          <w:rFonts w:hint="eastAsia" w:ascii="方正小标宋简体" w:hAnsi="宋体" w:eastAsia="方正小标宋简体"/>
          <w:color w:val="000000" w:themeColor="text1"/>
          <w:sz w:val="24"/>
          <w:szCs w:val="24"/>
          <w:highlight w:val="none"/>
          <w14:textFill>
            <w14:solidFill>
              <w14:schemeClr w14:val="tx1"/>
            </w14:solidFill>
          </w14:textFill>
        </w:rPr>
        <w:t>乙  方：</w:t>
      </w:r>
    </w:p>
    <w:p w14:paraId="00B24C33">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仿宋_GB2312" w:hAnsi="宋体" w:eastAsia="仿宋_GB2312" w:cs="宋体"/>
          <w:b/>
          <w:bCs/>
          <w:color w:val="000000" w:themeColor="text1"/>
          <w:sz w:val="24"/>
          <w:szCs w:val="24"/>
          <w:highlight w:val="none"/>
          <w:u w:val="singl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仿宋_GB2312" w:hAnsi="宋体" w:eastAsia="仿宋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仿宋_GB2312" w:hAnsi="等线" w:eastAsia="仿宋_GB2312" w:cs="等线"/>
          <w:i/>
          <w:iCs/>
          <w:color w:val="000000" w:themeColor="text1"/>
          <w:sz w:val="24"/>
          <w:highlight w:val="none"/>
          <w:u w:val="single"/>
          <w14:textFill>
            <w14:solidFill>
              <w14:schemeClr w14:val="tx1"/>
            </w14:solidFill>
          </w14:textFill>
        </w:rPr>
        <w:t>可根据实际情况调整为甲方/买方所在地</w:t>
      </w: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39" w:name="_Toc16330018"/>
      <w:bookmarkStart w:id="40" w:name="_Toc11930"/>
      <w:bookmarkStart w:id="41" w:name="_Toc11823"/>
      <w:bookmarkStart w:id="42" w:name="_Toc17619"/>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39"/>
      <w:bookmarkEnd w:id="40"/>
      <w:bookmarkEnd w:id="41"/>
      <w:bookmarkEnd w:id="42"/>
    </w:p>
    <w:p w14:paraId="3CF2503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43" w:name="_Toc29026"/>
      <w:bookmarkStart w:id="44" w:name="_Toc22800"/>
      <w:bookmarkStart w:id="45" w:name="_Toc32510"/>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6"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43"/>
      <w:bookmarkEnd w:id="44"/>
      <w:bookmarkEnd w:id="45"/>
      <w:bookmarkEnd w:id="46"/>
    </w:p>
    <w:p w14:paraId="3CE3B8F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7" w:name="_Toc27144"/>
      <w:bookmarkStart w:id="48" w:name="_Toc27453"/>
      <w:bookmarkStart w:id="49" w:name="_Toc16330020"/>
      <w:bookmarkStart w:id="50" w:name="_Toc2833"/>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47"/>
      <w:bookmarkEnd w:id="48"/>
      <w:bookmarkEnd w:id="49"/>
      <w:bookmarkEnd w:id="50"/>
    </w:p>
    <w:p w14:paraId="16BE9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1" w:name="_Toc16330021"/>
      <w:bookmarkStart w:id="52" w:name="_Toc7431"/>
      <w:bookmarkStart w:id="53" w:name="_Toc10630"/>
      <w:bookmarkStart w:id="54" w:name="_Toc16133"/>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51"/>
      <w:bookmarkEnd w:id="52"/>
      <w:bookmarkEnd w:id="53"/>
      <w:bookmarkEnd w:id="54"/>
    </w:p>
    <w:p w14:paraId="01B8EE6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5" w:name="_Toc16330022"/>
      <w:bookmarkStart w:id="56" w:name="_Toc24467"/>
      <w:bookmarkStart w:id="57" w:name="_Toc19850"/>
      <w:bookmarkStart w:id="58" w:name="_Toc11217"/>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55"/>
      <w:bookmarkEnd w:id="56"/>
      <w:bookmarkEnd w:id="57"/>
      <w:bookmarkEnd w:id="58"/>
    </w:p>
    <w:p w14:paraId="16934B4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9" w:name="_Toc27500"/>
      <w:bookmarkStart w:id="60" w:name="_Toc16330023"/>
      <w:bookmarkStart w:id="61" w:name="_Toc11759"/>
      <w:bookmarkStart w:id="62" w:name="_Toc14809"/>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59"/>
      <w:bookmarkEnd w:id="60"/>
      <w:bookmarkEnd w:id="61"/>
      <w:bookmarkEnd w:id="62"/>
    </w:p>
    <w:p w14:paraId="6AD42DF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仿宋_GB2312" w:eastAsia="仿宋_GB2312" w:hAnsiTheme="minorEastAsia" w:cstheme="minorEastAsia"/>
          <w:i/>
          <w:iCs/>
          <w:color w:val="000000" w:themeColor="text1"/>
          <w:sz w:val="24"/>
          <w:szCs w:val="24"/>
          <w:highlight w:val="none"/>
          <w:u w:val="doubl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6.4交货方式</w:t>
      </w:r>
      <w:r>
        <w:rPr>
          <w:rFonts w:hint="eastAsia" w:ascii="仿宋_GB2312" w:eastAsia="仿宋_GB2312" w:hAnsiTheme="minorEastAsia" w:cstheme="minorEastAsia"/>
          <w:bCs/>
          <w:color w:val="000000" w:themeColor="text1"/>
          <w:sz w:val="24"/>
          <w:szCs w:val="24"/>
          <w:highlight w:val="none"/>
          <w14:textFill>
            <w14:solidFill>
              <w14:schemeClr w14:val="tx1"/>
            </w14:solidFill>
          </w14:textFill>
        </w:rPr>
        <w:t>：</w:t>
      </w:r>
      <w:r>
        <w:rPr>
          <w:rFonts w:hint="eastAsia" w:ascii="仿宋_GB2312" w:eastAsia="仿宋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6.6到货时间：</w:t>
      </w:r>
      <w:r>
        <w:rPr>
          <w:rFonts w:hint="eastAsia" w:ascii="仿宋_GB2312" w:eastAsia="仿宋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3" w:name="_Toc2984"/>
      <w:bookmarkStart w:id="64" w:name="_Toc16330024"/>
      <w:bookmarkStart w:id="65" w:name="_Toc8024"/>
      <w:bookmarkStart w:id="66" w:name="_Toc25510"/>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63"/>
      <w:bookmarkEnd w:id="64"/>
      <w:bookmarkEnd w:id="65"/>
      <w:bookmarkEnd w:id="66"/>
    </w:p>
    <w:p w14:paraId="6753ECAF">
      <w:pPr>
        <w:pStyle w:val="10"/>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7" w:name="_Toc16330025"/>
      <w:bookmarkStart w:id="68" w:name="_Toc14098"/>
      <w:bookmarkStart w:id="69" w:name="_Toc14260"/>
      <w:bookmarkStart w:id="70" w:name="_Toc6350"/>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67"/>
      <w:bookmarkEnd w:id="68"/>
      <w:bookmarkEnd w:id="69"/>
      <w:bookmarkEnd w:id="70"/>
    </w:p>
    <w:p w14:paraId="495E424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8.1本合同不含税总价为人民币</w:t>
      </w:r>
      <w:r>
        <w:rPr>
          <w:rFonts w:hint="eastAsia" w:ascii="仿宋_GB2312" w:eastAsia="仿宋_GB2312" w:cs="Calibri"/>
          <w:color w:val="000000" w:themeColor="text1"/>
          <w:sz w:val="24"/>
          <w:szCs w:val="24"/>
          <w:highlight w:val="non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元（大写：），增值税税率</w:t>
      </w:r>
      <w:r>
        <w:rPr>
          <w:rFonts w:hint="eastAsia" w:ascii="仿宋_GB2312" w:hAnsi="黑体" w:eastAsia="仿宋_GB2312" w:cstheme="minorEastAsia"/>
          <w:color w:val="000000" w:themeColor="text1"/>
          <w:sz w:val="24"/>
          <w:szCs w:val="24"/>
          <w:highlight w:val="none"/>
          <w:u w:val="singl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w:t>
      </w:r>
      <w:r>
        <w:rPr>
          <w:rFonts w:ascii="仿宋_GB2312" w:hAnsi="黑体" w:eastAsia="仿宋_GB2312" w:cstheme="minorEastAsia"/>
          <w:i/>
          <w:color w:val="000000" w:themeColor="text1"/>
          <w:sz w:val="24"/>
          <w:szCs w:val="24"/>
          <w:highlight w:val="none"/>
          <w14:textFill>
            <w14:solidFill>
              <w14:schemeClr w14:val="tx1"/>
            </w14:solidFill>
          </w14:textFill>
        </w:rPr>
        <w:t>SAP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bookmarkStart w:id="71" w:name="_Toc14676804"/>
      <w:bookmarkStart w:id="72" w:name="_Toc14531628"/>
      <w:r>
        <w:rPr>
          <w:rFonts w:hint="eastAsia" w:ascii="仿宋_GB2312" w:hAnsi="黑体" w:eastAsia="仿宋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r>
        <w:rPr>
          <w:rFonts w:hint="eastAsia" w:ascii="仿宋_GB2312" w:hAnsi="黑体" w:eastAsia="仿宋_GB2312" w:cstheme="minorEastAsia"/>
          <w:color w:val="000000" w:themeColor="text1"/>
          <w:sz w:val="24"/>
          <w:szCs w:val="24"/>
          <w:highlight w:val="none"/>
          <w14:textFill>
            <w14:solidFill>
              <w14:schemeClr w14:val="tx1"/>
            </w14:solidFill>
          </w14:textFill>
        </w:rPr>
        <w:t>如有质量问题，质量保证金予以相应扣除。</w:t>
      </w:r>
      <w:bookmarkEnd w:id="71"/>
      <w:bookmarkEnd w:id="72"/>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3" w:name="_Toc25708"/>
      <w:bookmarkStart w:id="74" w:name="_Toc6726"/>
      <w:bookmarkStart w:id="75" w:name="_Toc16330026"/>
      <w:bookmarkStart w:id="76" w:name="_Toc24085"/>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73"/>
      <w:bookmarkEnd w:id="74"/>
      <w:bookmarkEnd w:id="75"/>
      <w:bookmarkEnd w:id="76"/>
    </w:p>
    <w:p w14:paraId="6347F32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7" w:name="_Toc15570"/>
      <w:bookmarkStart w:id="78" w:name="_Toc12927"/>
      <w:bookmarkStart w:id="79" w:name="_Toc10359"/>
      <w:bookmarkStart w:id="80" w:name="_Toc16330027"/>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77"/>
      <w:bookmarkEnd w:id="78"/>
      <w:bookmarkEnd w:id="79"/>
      <w:bookmarkEnd w:id="80"/>
    </w:p>
    <w:p w14:paraId="1BBD4C9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1" w:name="_Toc9708"/>
      <w:bookmarkStart w:id="82" w:name="_Toc16330028"/>
      <w:bookmarkStart w:id="83" w:name="_Toc27314"/>
      <w:bookmarkStart w:id="84" w:name="_Toc30381"/>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81"/>
      <w:bookmarkEnd w:id="82"/>
      <w:bookmarkEnd w:id="83"/>
      <w:bookmarkEnd w:id="84"/>
    </w:p>
    <w:p w14:paraId="796112C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w:t>
      </w:r>
      <w:r>
        <w:rPr>
          <w:rFonts w:ascii="仿宋_GB2312" w:hAnsi="黑体" w:eastAsia="仿宋_GB2312" w:cstheme="minorEastAsia"/>
          <w:color w:val="000000" w:themeColor="text1"/>
          <w:sz w:val="24"/>
          <w:szCs w:val="24"/>
          <w:highlight w:val="none"/>
          <w14:textFill>
            <w14:solidFill>
              <w14:schemeClr w14:val="tx1"/>
            </w14:solidFill>
          </w14:textFill>
        </w:rPr>
        <w:t>1.7</w:t>
      </w:r>
      <w:r>
        <w:rPr>
          <w:rFonts w:hint="eastAsia" w:ascii="仿宋_GB2312" w:hAnsi="黑体" w:eastAsia="仿宋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w:t>
      </w:r>
      <w:r>
        <w:rPr>
          <w:rFonts w:ascii="仿宋_GB2312" w:hAnsi="黑体" w:eastAsia="仿宋_GB2312" w:cstheme="minorEastAsia"/>
          <w:color w:val="000000" w:themeColor="text1"/>
          <w:sz w:val="24"/>
          <w:szCs w:val="24"/>
          <w:highlight w:val="none"/>
          <w14:textFill>
            <w14:solidFill>
              <w14:schemeClr w14:val="tx1"/>
            </w14:solidFill>
          </w14:textFill>
        </w:rPr>
        <w:t>8</w:t>
      </w:r>
      <w:r>
        <w:rPr>
          <w:rFonts w:hint="eastAsia" w:ascii="仿宋_GB2312" w:hAnsi="黑体" w:eastAsia="仿宋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5" w:name="_Toc16330029"/>
      <w:bookmarkStart w:id="86" w:name="_Toc9172"/>
      <w:bookmarkStart w:id="87" w:name="_Toc31554"/>
      <w:bookmarkStart w:id="88" w:name="_Toc1827"/>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85"/>
      <w:bookmarkEnd w:id="86"/>
      <w:bookmarkEnd w:id="87"/>
      <w:bookmarkEnd w:id="88"/>
    </w:p>
    <w:p w14:paraId="0911406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9" w:name="_Toc8620"/>
      <w:bookmarkStart w:id="90" w:name="_Toc16330030"/>
      <w:bookmarkStart w:id="91" w:name="_Toc13671"/>
      <w:bookmarkStart w:id="92" w:name="_Toc31945"/>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89"/>
      <w:bookmarkEnd w:id="90"/>
      <w:bookmarkEnd w:id="91"/>
      <w:bookmarkEnd w:id="92"/>
    </w:p>
    <w:p w14:paraId="4EF8E5A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3" w:name="_Toc637"/>
      <w:bookmarkStart w:id="94" w:name="_Toc31243"/>
      <w:bookmarkStart w:id="95" w:name="_Toc16330031"/>
      <w:bookmarkStart w:id="96" w:name="_Toc30389"/>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93"/>
      <w:bookmarkEnd w:id="94"/>
      <w:bookmarkEnd w:id="95"/>
      <w:bookmarkEnd w:id="96"/>
    </w:p>
    <w:p w14:paraId="0A97551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7" w:name="_Toc16330032"/>
      <w:bookmarkStart w:id="98" w:name="_Toc12984"/>
      <w:bookmarkStart w:id="99" w:name="_Toc11290"/>
      <w:bookmarkStart w:id="100" w:name="_Toc9915"/>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97"/>
      <w:bookmarkEnd w:id="98"/>
      <w:bookmarkEnd w:id="99"/>
      <w:bookmarkEnd w:id="100"/>
    </w:p>
    <w:p w14:paraId="6AB9C4E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1" w:name="_Toc23765"/>
      <w:bookmarkStart w:id="102" w:name="_Toc16330033"/>
      <w:bookmarkStart w:id="103" w:name="_Toc23906"/>
      <w:bookmarkStart w:id="104" w:name="_Toc18207"/>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01"/>
      <w:bookmarkEnd w:id="102"/>
      <w:bookmarkEnd w:id="103"/>
      <w:bookmarkEnd w:id="104"/>
    </w:p>
    <w:p w14:paraId="4F4783C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5" w:name="_Toc27202"/>
      <w:bookmarkStart w:id="106" w:name="_Toc31331"/>
      <w:bookmarkStart w:id="107" w:name="_Toc17656"/>
      <w:bookmarkStart w:id="108" w:name="_Toc16330034"/>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05"/>
      <w:bookmarkEnd w:id="106"/>
      <w:bookmarkEnd w:id="107"/>
      <w:bookmarkEnd w:id="108"/>
    </w:p>
    <w:p w14:paraId="5613F6B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109" w:name="_Toc17952"/>
      <w:bookmarkStart w:id="110" w:name="_Toc29136"/>
      <w:bookmarkStart w:id="111" w:name="_Toc19077"/>
      <w:bookmarkStart w:id="112" w:name="_Toc16330035"/>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09"/>
      <w:bookmarkEnd w:id="110"/>
      <w:bookmarkEnd w:id="111"/>
      <w:bookmarkEnd w:id="112"/>
    </w:p>
    <w:p w14:paraId="5810B01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仿宋_GB2312" w:eastAsia="仿宋_GB2312" w:hAnsiTheme="minorEastAsia" w:cstheme="minorEastAsia"/>
          <w:b/>
          <w:color w:val="000000" w:themeColor="text1"/>
          <w:sz w:val="24"/>
          <w:szCs w:val="24"/>
          <w:highlight w:val="none"/>
          <w:lang w:eastAsia="zh-CN"/>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仿宋_GB2312" w:eastAsia="仿宋_GB2312" w:hAnsiTheme="minorEastAsia" w:cstheme="minorEastAsia"/>
          <w:b/>
          <w:color w:val="000000" w:themeColor="text1"/>
          <w:sz w:val="24"/>
          <w:szCs w:val="24"/>
          <w:highlight w:val="none"/>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账  号：                             账 号： </w:t>
      </w:r>
      <w:bookmarkStart w:id="113" w:name="_Toc16330036"/>
      <w:bookmarkStart w:id="114" w:name="_Toc15689"/>
      <w:bookmarkStart w:id="115" w:name="_Toc28611"/>
      <w:bookmarkStart w:id="116" w:name="_Toc10272"/>
    </w:p>
    <w:bookmarkEnd w:id="113"/>
    <w:bookmarkEnd w:id="114"/>
    <w:bookmarkEnd w:id="115"/>
    <w:bookmarkEnd w:id="116"/>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5F73A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6D35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17"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34"/>
      <w:bookmarkEnd w:id="35"/>
      <w:bookmarkEnd w:id="36"/>
      <w:bookmarkEnd w:id="37"/>
      <w:bookmarkEnd w:id="38"/>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17"/>
    </w:p>
    <w:p w14:paraId="61ACBB2F">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18"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18"/>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24A1C36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更新电子汽车衡项目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，投标公司，法人代表人为，正式授权提交纸质投标文件：资质证明文件、商务文件和技术文件正本1份/副本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更新电子汽车衡项目</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编号：CGZX2025030245</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03F0AE0F">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vAlign w:val="center"/>
          </w:tcPr>
          <w:p w14:paraId="519E484B">
            <w:pPr>
              <w:pStyle w:val="131"/>
              <w:spacing w:before="114"/>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企业名称</w:t>
            </w:r>
          </w:p>
        </w:tc>
        <w:tc>
          <w:tcPr>
            <w:tcW w:w="4680" w:type="dxa"/>
            <w:gridSpan w:val="4"/>
            <w:vAlign w:val="center"/>
          </w:tcPr>
          <w:p w14:paraId="35497E92">
            <w:pPr>
              <w:widowControl/>
              <w:ind w:firstLine="400"/>
              <w:jc w:val="both"/>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vAlign w:val="center"/>
          </w:tcPr>
          <w:p w14:paraId="211C2A64">
            <w:pPr>
              <w:pStyle w:val="131"/>
              <w:spacing w:before="106"/>
              <w:ind w:left="154" w:right="26"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联系人</w:t>
            </w:r>
          </w:p>
        </w:tc>
        <w:tc>
          <w:tcPr>
            <w:tcW w:w="1510" w:type="dxa"/>
            <w:vAlign w:val="center"/>
          </w:tcPr>
          <w:p w14:paraId="4C1555A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vAlign w:val="center"/>
          </w:tcPr>
          <w:p w14:paraId="08E1FA27">
            <w:pPr>
              <w:pStyle w:val="131"/>
              <w:spacing w:before="114"/>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企业地址</w:t>
            </w:r>
          </w:p>
        </w:tc>
        <w:tc>
          <w:tcPr>
            <w:tcW w:w="4680" w:type="dxa"/>
            <w:gridSpan w:val="4"/>
            <w:vAlign w:val="center"/>
          </w:tcPr>
          <w:p w14:paraId="5EFCF3FD">
            <w:pPr>
              <w:widowControl/>
              <w:ind w:firstLine="400"/>
              <w:jc w:val="both"/>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vAlign w:val="center"/>
          </w:tcPr>
          <w:p w14:paraId="279B922B">
            <w:pPr>
              <w:pStyle w:val="131"/>
              <w:spacing w:before="106"/>
              <w:ind w:left="154" w:right="26"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联系人电话</w:t>
            </w:r>
          </w:p>
        </w:tc>
        <w:tc>
          <w:tcPr>
            <w:tcW w:w="1510" w:type="dxa"/>
            <w:vAlign w:val="center"/>
          </w:tcPr>
          <w:p w14:paraId="0EDBEA4C">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vAlign w:val="center"/>
          </w:tcPr>
          <w:p w14:paraId="2577A277">
            <w:pPr>
              <w:pStyle w:val="131"/>
              <w:spacing w:before="111"/>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企业性质</w:t>
            </w:r>
          </w:p>
        </w:tc>
        <w:tc>
          <w:tcPr>
            <w:tcW w:w="4680" w:type="dxa"/>
            <w:gridSpan w:val="4"/>
            <w:vAlign w:val="center"/>
          </w:tcPr>
          <w:p w14:paraId="12F79CF6">
            <w:pPr>
              <w:widowControl/>
              <w:ind w:firstLine="400"/>
              <w:jc w:val="both"/>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vAlign w:val="center"/>
          </w:tcPr>
          <w:p w14:paraId="33D357BE">
            <w:pPr>
              <w:pStyle w:val="131"/>
              <w:spacing w:before="103"/>
              <w:ind w:left="154" w:right="26" w:firstLine="400"/>
              <w:jc w:val="both"/>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vAlign w:val="center"/>
          </w:tcPr>
          <w:p w14:paraId="640B25F8">
            <w:pPr>
              <w:pStyle w:val="131"/>
              <w:spacing w:before="111"/>
              <w:ind w:left="509"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企业法人代表</w:t>
            </w:r>
          </w:p>
        </w:tc>
        <w:tc>
          <w:tcPr>
            <w:tcW w:w="4680" w:type="dxa"/>
            <w:gridSpan w:val="4"/>
            <w:vAlign w:val="center"/>
          </w:tcPr>
          <w:p w14:paraId="05573E5F">
            <w:pPr>
              <w:pStyle w:val="4"/>
              <w:keepNext w:val="0"/>
              <w:keepLines w:val="0"/>
              <w:widowControl/>
              <w:shd w:val="clear" w:color="auto" w:fill="FFFFFF"/>
              <w:spacing w:before="0" w:after="0" w:line="450" w:lineRule="atLeast"/>
              <w:ind w:firstLine="643"/>
              <w:jc w:val="both"/>
              <w:outlineLvl w:val="2"/>
              <w:rPr>
                <w:rFonts w:ascii="宋体" w:hAnsi="宋体" w:cs="宋体"/>
                <w:color w:val="000000" w:themeColor="text1"/>
                <w:kern w:val="0"/>
                <w:highlight w:val="none"/>
                <w14:textFill>
                  <w14:solidFill>
                    <w14:schemeClr w14:val="tx1"/>
                  </w14:solidFill>
                </w14:textFill>
              </w:rPr>
            </w:pPr>
          </w:p>
        </w:tc>
        <w:tc>
          <w:tcPr>
            <w:tcW w:w="1310" w:type="dxa"/>
            <w:vAlign w:val="center"/>
          </w:tcPr>
          <w:p w14:paraId="364F8023">
            <w:pPr>
              <w:pStyle w:val="131"/>
              <w:spacing w:before="103"/>
              <w:ind w:right="26"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vAlign w:val="center"/>
          </w:tcPr>
          <w:p w14:paraId="6DF5562E">
            <w:pPr>
              <w:pStyle w:val="131"/>
              <w:spacing w:before="114"/>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品牌区分</w:t>
            </w:r>
          </w:p>
        </w:tc>
        <w:tc>
          <w:tcPr>
            <w:tcW w:w="7500" w:type="dxa"/>
            <w:gridSpan w:val="6"/>
            <w:vAlign w:val="center"/>
          </w:tcPr>
          <w:p w14:paraId="61502CD6">
            <w:pPr>
              <w:pStyle w:val="131"/>
              <w:spacing w:before="106"/>
              <w:ind w:left="401"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经销</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vAlign w:val="center"/>
          </w:tcPr>
          <w:p w14:paraId="2B5FEB4E">
            <w:pPr>
              <w:pStyle w:val="131"/>
              <w:spacing w:before="178"/>
              <w:ind w:left="720" w:firstLine="400"/>
              <w:jc w:val="both"/>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品牌名称</w:t>
            </w:r>
          </w:p>
        </w:tc>
        <w:tc>
          <w:tcPr>
            <w:tcW w:w="3583" w:type="dxa"/>
            <w:gridSpan w:val="3"/>
            <w:vAlign w:val="center"/>
          </w:tcPr>
          <w:p w14:paraId="1FB171BB">
            <w:pPr>
              <w:widowControl/>
              <w:ind w:firstLine="400"/>
              <w:jc w:val="both"/>
              <w:rPr>
                <w:rFonts w:ascii="宋体" w:hAnsi="宋体" w:eastAsia="仿宋_GB2312" w:cs="Times New Roman"/>
                <w:color w:val="000000" w:themeColor="text1"/>
                <w:kern w:val="0"/>
                <w:sz w:val="20"/>
                <w:szCs w:val="21"/>
                <w:highlight w:val="none"/>
                <w14:textFill>
                  <w14:solidFill>
                    <w14:schemeClr w14:val="tx1"/>
                  </w14:solidFill>
                </w14:textFill>
              </w:rPr>
            </w:pPr>
          </w:p>
        </w:tc>
        <w:tc>
          <w:tcPr>
            <w:tcW w:w="1097" w:type="dxa"/>
            <w:vAlign w:val="center"/>
          </w:tcPr>
          <w:p w14:paraId="721C5A21">
            <w:pPr>
              <w:pStyle w:val="131"/>
              <w:spacing w:before="15"/>
              <w:ind w:left="279" w:firstLine="392"/>
              <w:jc w:val="both"/>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both"/>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vAlign w:val="center"/>
          </w:tcPr>
          <w:p w14:paraId="63AD73D1">
            <w:pPr>
              <w:pStyle w:val="131"/>
              <w:spacing w:before="158"/>
              <w:ind w:firstLine="400"/>
              <w:jc w:val="both"/>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vAlign w:val="center"/>
          </w:tcPr>
          <w:p w14:paraId="42B05DAF">
            <w:pPr>
              <w:pStyle w:val="131"/>
              <w:spacing w:before="149"/>
              <w:ind w:left="3345" w:right="3223" w:firstLine="400"/>
              <w:jc w:val="both"/>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AEAC0D2">
      <w:pPr>
        <w:tabs>
          <w:tab w:val="left" w:pos="710"/>
        </w:tabs>
        <w:bidi w:val="0"/>
        <w:jc w:val="left"/>
        <w:rPr>
          <w:color w:val="000000" w:themeColor="text1"/>
          <w:highlight w:val="none"/>
          <w:lang w:val="en-US" w:eastAsia="zh-CN"/>
          <w14:textFill>
            <w14:solidFill>
              <w14:schemeClr w14:val="tx1"/>
            </w14:solidFill>
          </w14:textFill>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更新电子汽车衡项目</w:t>
      </w: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61B4076A">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更新电子汽车衡项目</w:t>
      </w:r>
    </w:p>
    <w:p w14:paraId="546CD0D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07D0EE16">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9B01724">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471" w:type="dxa"/>
          </w:tcPr>
          <w:p w14:paraId="501CC473">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1" w:type="dxa"/>
          </w:tcPr>
          <w:p w14:paraId="4A5523E0">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445" w:type="dxa"/>
          </w:tcPr>
          <w:p w14:paraId="2424D8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457" w:type="dxa"/>
          </w:tcPr>
          <w:p w14:paraId="432476E6">
            <w:pPr>
              <w:spacing w:before="100" w:line="182" w:lineRule="auto"/>
              <w:ind w:left="798"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2550" w:type="dxa"/>
            <w:tcBorders>
              <w:left w:val="single" w:color="000000" w:sz="4" w:space="0"/>
            </w:tcBorders>
          </w:tcPr>
          <w:p w14:paraId="694B6E21">
            <w:pPr>
              <w:spacing w:before="100" w:line="182" w:lineRule="auto"/>
              <w:ind w:left="100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2071" w:type="dxa"/>
          </w:tcPr>
          <w:p w14:paraId="560B792C">
            <w:pPr>
              <w:spacing w:before="99" w:line="183"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3F1FE2C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471" w:type="dxa"/>
            <w:vAlign w:val="center"/>
          </w:tcPr>
          <w:p w14:paraId="659D6A36">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541" w:type="dxa"/>
            <w:vAlign w:val="center"/>
          </w:tcPr>
          <w:p w14:paraId="00CC25A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445" w:type="dxa"/>
            <w:vAlign w:val="center"/>
          </w:tcPr>
          <w:p w14:paraId="736D798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457" w:type="dxa"/>
            <w:vAlign w:val="center"/>
          </w:tcPr>
          <w:p w14:paraId="143C88A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550" w:type="dxa"/>
            <w:tcBorders>
              <w:left w:val="single" w:color="000000" w:sz="4" w:space="0"/>
            </w:tcBorders>
            <w:vAlign w:val="center"/>
          </w:tcPr>
          <w:p w14:paraId="778A50F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071" w:type="dxa"/>
            <w:vAlign w:val="center"/>
          </w:tcPr>
          <w:p w14:paraId="43E870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29E95DF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71" w:type="dxa"/>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26486D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250DCDE">
            <w:pPr>
              <w:ind w:firstLine="480"/>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D4CB3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471" w:type="dxa"/>
            <w:vAlign w:val="center"/>
          </w:tcPr>
          <w:p w14:paraId="5FC7148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FCF5529">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C9BE940">
            <w:pPr>
              <w:ind w:firstLine="480"/>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14:paraId="35749A4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471" w:type="dxa"/>
            <w:vAlign w:val="center"/>
          </w:tcPr>
          <w:p w14:paraId="569105DF">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D071532">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66AF3F4">
            <w:pPr>
              <w:ind w:firstLine="480"/>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B30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471" w:type="dxa"/>
            <w:vAlign w:val="center"/>
          </w:tcPr>
          <w:p w14:paraId="5E405347">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915CBD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7F479E">
            <w:pPr>
              <w:ind w:firstLine="480"/>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F9A45A">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471" w:type="dxa"/>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74CD02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7989F0">
            <w:pPr>
              <w:ind w:firstLine="480"/>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77813E">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468382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468F9FD">
            <w:pPr>
              <w:ind w:firstLine="480"/>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21774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71" w:type="dxa"/>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D82CF0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5DE7469">
            <w:pPr>
              <w:ind w:firstLine="480"/>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A68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2471" w:type="dxa"/>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1F2216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F467F1D">
            <w:pPr>
              <w:ind w:firstLine="480"/>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CB0FF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471" w:type="dxa"/>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421934A">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0E8CC15">
            <w:pPr>
              <w:ind w:firstLine="480"/>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735B45E">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471" w:type="dxa"/>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B1F4990">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1F89EF9F">
            <w:pPr>
              <w:ind w:firstLine="480"/>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950BAD">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A144EC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BBB5B42">
            <w:pPr>
              <w:ind w:firstLine="480"/>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17F9A5">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71" w:type="dxa"/>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001121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3C25DE1">
            <w:pPr>
              <w:ind w:firstLine="480"/>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71B31EB">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471" w:type="dxa"/>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CB9EC3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530F64C4">
            <w:pPr>
              <w:ind w:firstLine="480"/>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46F76B1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471" w:type="dxa"/>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7511475">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4B5A623">
            <w:pPr>
              <w:ind w:firstLine="480"/>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78B5D7">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3AC3270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EB76EB">
            <w:pPr>
              <w:ind w:firstLine="480"/>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1C0A03A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71" w:type="dxa"/>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CCDDC16">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A12FF4E">
            <w:pPr>
              <w:ind w:firstLine="480"/>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767E6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71" w:type="dxa"/>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5E6E9E3">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02B005">
            <w:pPr>
              <w:ind w:firstLine="480"/>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281BD742">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tcPr>
          <w:p w14:paraId="41675FF3">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2541" w:type="dxa"/>
          </w:tcPr>
          <w:p w14:paraId="6855D75B">
            <w:pPr>
              <w:ind w:firstLine="480"/>
              <w:rPr>
                <w:rFonts w:ascii="Arial" w:hAnsi="Times New Roman" w:eastAsia="宋体" w:cs="Times New Roman"/>
                <w:color w:val="000000" w:themeColor="text1"/>
                <w:highlight w:val="none"/>
                <w14:textFill>
                  <w14:solidFill>
                    <w14:schemeClr w14:val="tx1"/>
                  </w14:solidFill>
                </w14:textFill>
              </w:rPr>
            </w:pPr>
          </w:p>
        </w:tc>
        <w:tc>
          <w:tcPr>
            <w:tcW w:w="1445" w:type="dxa"/>
          </w:tcPr>
          <w:p w14:paraId="7DDC7DE1">
            <w:pPr>
              <w:ind w:firstLine="480"/>
              <w:rPr>
                <w:rFonts w:ascii="Arial" w:hAnsi="Times New Roman" w:eastAsia="宋体" w:cs="Times New Roman"/>
                <w:color w:val="000000" w:themeColor="text1"/>
                <w:highlight w:val="none"/>
                <w14:textFill>
                  <w14:solidFill>
                    <w14:schemeClr w14:val="tx1"/>
                  </w14:solidFill>
                </w14:textFill>
              </w:rPr>
            </w:pPr>
          </w:p>
        </w:tc>
        <w:tc>
          <w:tcPr>
            <w:tcW w:w="1457" w:type="dxa"/>
          </w:tcPr>
          <w:p w14:paraId="1028D15A">
            <w:pPr>
              <w:ind w:firstLine="480"/>
              <w:rPr>
                <w:rFonts w:ascii="Arial" w:hAnsi="Times New Roman" w:eastAsia="宋体" w:cs="Times New Roman"/>
                <w:color w:val="000000" w:themeColor="text1"/>
                <w:highlight w:val="none"/>
                <w14:textFill>
                  <w14:solidFill>
                    <w14:schemeClr w14:val="tx1"/>
                  </w14:solidFill>
                </w14:textFill>
              </w:rPr>
            </w:pPr>
          </w:p>
        </w:tc>
        <w:tc>
          <w:tcPr>
            <w:tcW w:w="2550" w:type="dxa"/>
            <w:tcBorders>
              <w:left w:val="single" w:color="000000" w:sz="4" w:space="0"/>
            </w:tcBorders>
          </w:tcPr>
          <w:p w14:paraId="67E57BA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E042AC1">
            <w:pPr>
              <w:ind w:firstLine="480"/>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6859DA6D">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附件6（近三年）2021年1月1日至今同类项目业绩一览表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更新电子汽车衡项目</w:t>
      </w:r>
    </w:p>
    <w:p w14:paraId="5391E40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456"/>
        <w:gridCol w:w="2546"/>
        <w:gridCol w:w="1074"/>
        <w:gridCol w:w="981"/>
        <w:gridCol w:w="1350"/>
        <w:gridCol w:w="981"/>
      </w:tblGrid>
      <w:tr w14:paraId="6E9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vAlign w:val="center"/>
          </w:tcPr>
          <w:p w14:paraId="3F339F18">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0" w:type="auto"/>
            <w:vAlign w:val="center"/>
          </w:tcPr>
          <w:p w14:paraId="175D2DC0">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1683" w:type="dxa"/>
            <w:vAlign w:val="center"/>
          </w:tcPr>
          <w:p w14:paraId="0DA1D1A1">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3B381454">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1074" w:type="dxa"/>
            <w:vAlign w:val="center"/>
          </w:tcPr>
          <w:p w14:paraId="67123A1A">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0" w:type="auto"/>
            <w:vAlign w:val="center"/>
          </w:tcPr>
          <w:p w14:paraId="62F3739C">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0" w:type="auto"/>
            <w:vAlign w:val="center"/>
          </w:tcPr>
          <w:p w14:paraId="49B3EAAF">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0" w:type="auto"/>
            <w:vAlign w:val="center"/>
          </w:tcPr>
          <w:p w14:paraId="2C2C457C">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w:t>
            </w:r>
          </w:p>
          <w:p w14:paraId="305C6D21">
            <w:pPr>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联系电话</w:t>
            </w:r>
          </w:p>
        </w:tc>
      </w:tr>
      <w:tr w14:paraId="36F1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0" w:type="auto"/>
            <w:vAlign w:val="center"/>
          </w:tcPr>
          <w:p w14:paraId="15826A0E">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B2F2440">
            <w:pPr>
              <w:ind w:firstLine="476"/>
              <w:jc w:val="both"/>
              <w:rPr>
                <w:rFonts w:ascii="宋体" w:hAnsi="宋体" w:eastAsia="宋体" w:cs="宋体"/>
                <w:color w:val="000000" w:themeColor="text1"/>
                <w:spacing w:val="-1"/>
                <w:sz w:val="24"/>
                <w:szCs w:val="24"/>
                <w:highlight w:val="none"/>
                <w14:textFill>
                  <w14:solidFill>
                    <w14:schemeClr w14:val="tx1"/>
                  </w14:solidFill>
                </w14:textFill>
              </w:rPr>
            </w:pPr>
          </w:p>
        </w:tc>
        <w:tc>
          <w:tcPr>
            <w:tcW w:w="1683" w:type="dxa"/>
            <w:vAlign w:val="center"/>
          </w:tcPr>
          <w:p w14:paraId="698C036A">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7E662D3A">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F0758E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DA3B62F">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F9A6B16">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1F9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0" w:type="auto"/>
            <w:vAlign w:val="center"/>
          </w:tcPr>
          <w:p w14:paraId="544A32F3">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5A36DAC">
            <w:pPr>
              <w:pStyle w:val="126"/>
              <w:spacing w:beforeLines="0" w:afterLines="0" w:line="240" w:lineRule="auto"/>
              <w:ind w:firstLine="476"/>
              <w:jc w:val="both"/>
              <w:rPr>
                <w:rFonts w:ascii="宋体" w:hAnsi="宋体" w:eastAsia="宋体" w:cs="宋体"/>
                <w:color w:val="000000" w:themeColor="text1"/>
                <w:spacing w:val="-1"/>
                <w:sz w:val="24"/>
                <w:highlight w:val="none"/>
                <w14:textFill>
                  <w14:solidFill>
                    <w14:schemeClr w14:val="tx1"/>
                  </w14:solidFill>
                </w14:textFill>
              </w:rPr>
            </w:pPr>
          </w:p>
        </w:tc>
        <w:tc>
          <w:tcPr>
            <w:tcW w:w="1683" w:type="dxa"/>
            <w:vAlign w:val="center"/>
          </w:tcPr>
          <w:p w14:paraId="11B5A5D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6407E8D4">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F0E9400">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1B32347">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AED0B8A">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2CE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0" w:type="auto"/>
            <w:vAlign w:val="center"/>
          </w:tcPr>
          <w:p w14:paraId="1EF090B6">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F13CBBC">
            <w:pPr>
              <w:pStyle w:val="126"/>
              <w:spacing w:beforeLines="0" w:afterLines="0" w:line="240" w:lineRule="auto"/>
              <w:jc w:val="both"/>
              <w:rPr>
                <w:rFonts w:ascii="宋体" w:hAnsi="宋体" w:eastAsia="宋体" w:cs="宋体"/>
                <w:bCs/>
                <w:color w:val="000000" w:themeColor="text1"/>
                <w:sz w:val="24"/>
                <w:highlight w:val="none"/>
                <w14:textFill>
                  <w14:solidFill>
                    <w14:schemeClr w14:val="tx1"/>
                  </w14:solidFill>
                </w14:textFill>
              </w:rPr>
            </w:pPr>
          </w:p>
        </w:tc>
        <w:tc>
          <w:tcPr>
            <w:tcW w:w="1683" w:type="dxa"/>
            <w:vAlign w:val="center"/>
          </w:tcPr>
          <w:p w14:paraId="70DD25FB">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05F142C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B7A21A5">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88EC38E">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A2D428E">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2DF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0" w:type="auto"/>
            <w:vAlign w:val="center"/>
          </w:tcPr>
          <w:p w14:paraId="4B3CD046">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F99322C">
            <w:pPr>
              <w:pStyle w:val="126"/>
              <w:spacing w:beforeLines="0" w:afterLines="0" w:line="240" w:lineRule="auto"/>
              <w:ind w:firstLine="476"/>
              <w:jc w:val="both"/>
              <w:rPr>
                <w:rFonts w:ascii="宋体" w:hAnsi="宋体" w:eastAsia="宋体" w:cs="宋体"/>
                <w:color w:val="000000" w:themeColor="text1"/>
                <w:spacing w:val="-1"/>
                <w:sz w:val="24"/>
                <w:highlight w:val="none"/>
                <w14:textFill>
                  <w14:solidFill>
                    <w14:schemeClr w14:val="tx1"/>
                  </w14:solidFill>
                </w14:textFill>
              </w:rPr>
            </w:pPr>
          </w:p>
        </w:tc>
        <w:tc>
          <w:tcPr>
            <w:tcW w:w="1683" w:type="dxa"/>
            <w:vAlign w:val="center"/>
          </w:tcPr>
          <w:p w14:paraId="5D158186">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3245116C">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3FEB074">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62615F1">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335097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69A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0" w:type="auto"/>
            <w:vAlign w:val="center"/>
          </w:tcPr>
          <w:p w14:paraId="1DB64CF3">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1173C2A">
            <w:pPr>
              <w:pStyle w:val="126"/>
              <w:spacing w:beforeLines="0" w:afterLines="0" w:line="240" w:lineRule="auto"/>
              <w:jc w:val="both"/>
              <w:rPr>
                <w:rFonts w:ascii="宋体" w:hAnsi="宋体" w:eastAsia="宋体" w:cs="宋体"/>
                <w:color w:val="000000" w:themeColor="text1"/>
                <w:sz w:val="24"/>
                <w:highlight w:val="none"/>
                <w14:textFill>
                  <w14:solidFill>
                    <w14:schemeClr w14:val="tx1"/>
                  </w14:solidFill>
                </w14:textFill>
              </w:rPr>
            </w:pPr>
          </w:p>
        </w:tc>
        <w:tc>
          <w:tcPr>
            <w:tcW w:w="1683" w:type="dxa"/>
            <w:vAlign w:val="center"/>
          </w:tcPr>
          <w:p w14:paraId="34122504">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11CEC5E8">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0EABBB7">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B48B4A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8C07963">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3E4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0" w:type="auto"/>
            <w:vAlign w:val="center"/>
          </w:tcPr>
          <w:p w14:paraId="5956C732">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E6EA66A">
            <w:pPr>
              <w:pStyle w:val="126"/>
              <w:spacing w:beforeLines="0" w:afterLines="0" w:line="240" w:lineRule="auto"/>
              <w:jc w:val="both"/>
              <w:rPr>
                <w:rFonts w:ascii="宋体" w:hAnsi="宋体" w:eastAsia="宋体" w:cs="宋体"/>
                <w:color w:val="000000" w:themeColor="text1"/>
                <w:sz w:val="24"/>
                <w:highlight w:val="none"/>
                <w14:textFill>
                  <w14:solidFill>
                    <w14:schemeClr w14:val="tx1"/>
                  </w14:solidFill>
                </w14:textFill>
              </w:rPr>
            </w:pPr>
          </w:p>
        </w:tc>
        <w:tc>
          <w:tcPr>
            <w:tcW w:w="1683" w:type="dxa"/>
            <w:vAlign w:val="center"/>
          </w:tcPr>
          <w:p w14:paraId="59A1D86C">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301AB9CC">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AC61076">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9039A58">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2F82C92">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0F5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vAlign w:val="center"/>
          </w:tcPr>
          <w:p w14:paraId="5C355E15">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DC08F81">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683" w:type="dxa"/>
            <w:vAlign w:val="center"/>
          </w:tcPr>
          <w:p w14:paraId="0C56E23C">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46DC54A2">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0E638B2">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367458A">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867066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2EC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vAlign w:val="center"/>
          </w:tcPr>
          <w:p w14:paraId="4B160233">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177E30D">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683" w:type="dxa"/>
            <w:vAlign w:val="center"/>
          </w:tcPr>
          <w:p w14:paraId="405AEDE2">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76B9573F">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2E21F68">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93C3A68">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E6F209B">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1B78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vAlign w:val="center"/>
          </w:tcPr>
          <w:p w14:paraId="2E309510">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65CD6F7">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683" w:type="dxa"/>
            <w:vAlign w:val="center"/>
          </w:tcPr>
          <w:p w14:paraId="2ABAC9CD">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4D1F1305">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659923E0">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5FCA8281">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687FA5A">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13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vAlign w:val="center"/>
          </w:tcPr>
          <w:p w14:paraId="437FB7F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D956D80">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683" w:type="dxa"/>
            <w:vAlign w:val="center"/>
          </w:tcPr>
          <w:p w14:paraId="03E4BD79">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595D3AA0">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B3C5916">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D1AB5DE">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1DE8C8B3">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40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vAlign w:val="center"/>
          </w:tcPr>
          <w:p w14:paraId="7B7E534F">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D6E4785">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683" w:type="dxa"/>
            <w:vAlign w:val="center"/>
          </w:tcPr>
          <w:p w14:paraId="4EAD801E">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2A69E483">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F317A64">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FBA6C70">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06394F7B">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04D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0" w:type="auto"/>
            <w:vAlign w:val="center"/>
          </w:tcPr>
          <w:p w14:paraId="19B28F5F">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9715A8D">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683" w:type="dxa"/>
            <w:vAlign w:val="center"/>
          </w:tcPr>
          <w:p w14:paraId="2FC422CF">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1074" w:type="dxa"/>
            <w:vAlign w:val="center"/>
          </w:tcPr>
          <w:p w14:paraId="0EC22032">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9869A54">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2F23888B">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F3818E7">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r w14:paraId="6FE5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112" w:type="dxa"/>
            <w:gridSpan w:val="3"/>
            <w:vAlign w:val="center"/>
          </w:tcPr>
          <w:p w14:paraId="45E395DB">
            <w:pPr>
              <w:jc w:val="left"/>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21</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1074" w:type="dxa"/>
            <w:vAlign w:val="center"/>
          </w:tcPr>
          <w:p w14:paraId="7EA95C2D">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778A74DD">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3753B53C">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c>
          <w:tcPr>
            <w:tcW w:w="0" w:type="auto"/>
            <w:vAlign w:val="center"/>
          </w:tcPr>
          <w:p w14:paraId="41EEF7F6">
            <w:pPr>
              <w:ind w:left="420" w:firstLine="482"/>
              <w:jc w:val="both"/>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提供（近三年）2021年1月1日以来同类产品的制造销售业绩（用户名单、联系方式）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0C7FC2B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484CC311">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更新电子汽车衡项目</w:t>
      </w:r>
    </w:p>
    <w:p w14:paraId="2E45B6EB">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277AC9C9">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1CB224B7">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更新电子汽车衡项目</w:t>
      </w:r>
    </w:p>
    <w:p w14:paraId="2DE463EE">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80"/>
        <w:gridCol w:w="906"/>
        <w:gridCol w:w="1558"/>
        <w:gridCol w:w="1243"/>
        <w:gridCol w:w="1275"/>
        <w:gridCol w:w="1069"/>
        <w:gridCol w:w="1070"/>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85" w:type="dxa"/>
            <w:vAlign w:val="center"/>
          </w:tcPr>
          <w:p w14:paraId="21DCA04A">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1580" w:type="dxa"/>
            <w:vAlign w:val="center"/>
          </w:tcPr>
          <w:p w14:paraId="310D755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0" w:type="auto"/>
            <w:vAlign w:val="center"/>
          </w:tcPr>
          <w:p w14:paraId="32CBC235">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0" w:type="auto"/>
            <w:vAlign w:val="center"/>
          </w:tcPr>
          <w:p w14:paraId="712D93D4">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1243" w:type="dxa"/>
            <w:vAlign w:val="center"/>
          </w:tcPr>
          <w:p w14:paraId="3F75B8E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275" w:type="dxa"/>
            <w:vAlign w:val="center"/>
          </w:tcPr>
          <w:p w14:paraId="43CD027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069" w:type="dxa"/>
            <w:vAlign w:val="center"/>
          </w:tcPr>
          <w:p w14:paraId="55E2F35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070" w:type="dxa"/>
            <w:vAlign w:val="center"/>
          </w:tcPr>
          <w:p w14:paraId="13E04739">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585" w:type="dxa"/>
            <w:vAlign w:val="center"/>
          </w:tcPr>
          <w:p w14:paraId="47FD4714">
            <w:pPr>
              <w:spacing w:line="240" w:lineRule="auto"/>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1580" w:type="dxa"/>
            <w:vAlign w:val="center"/>
          </w:tcPr>
          <w:p w14:paraId="49FF0278">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更新电子汽车衡项目</w:t>
            </w:r>
          </w:p>
        </w:tc>
        <w:tc>
          <w:tcPr>
            <w:tcW w:w="0" w:type="auto"/>
            <w:vAlign w:val="center"/>
          </w:tcPr>
          <w:p w14:paraId="461E9159">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0" w:type="auto"/>
            <w:vAlign w:val="center"/>
          </w:tcPr>
          <w:p w14:paraId="6D3845BB">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440811C4">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14:paraId="26D8B863">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1243" w:type="dxa"/>
            <w:vAlign w:val="center"/>
          </w:tcPr>
          <w:p w14:paraId="632E62BD">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275" w:type="dxa"/>
            <w:vAlign w:val="center"/>
          </w:tcPr>
          <w:p w14:paraId="60F76ACA">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69" w:type="dxa"/>
            <w:vAlign w:val="center"/>
          </w:tcPr>
          <w:p w14:paraId="66E42E38">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70" w:type="dxa"/>
            <w:vAlign w:val="center"/>
          </w:tcPr>
          <w:p w14:paraId="7FE945D2">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5F4F34EA">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更新电子汽车衡项目</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14:paraId="0A7F1205">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vAlign w:val="center"/>
          </w:tcPr>
          <w:p w14:paraId="18A5E0D8">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8B10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10D24069">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27AEDB31">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E172589">
      <w:pPr>
        <w:spacing w:line="172" w:lineRule="exact"/>
        <w:ind w:firstLine="480"/>
        <w:rPr>
          <w:color w:val="000000" w:themeColor="text1"/>
          <w:highlight w:val="none"/>
          <w14:textFill>
            <w14:solidFill>
              <w14:schemeClr w14:val="tx1"/>
            </w14:solidFill>
          </w14:textFill>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AD5D64A">
            <w:pPr>
              <w:spacing w:line="296" w:lineRule="auto"/>
              <w:ind w:firstLine="480"/>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2015"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592" w:type="dxa"/>
          </w:tcPr>
          <w:p w14:paraId="6B98593D">
            <w:pPr>
              <w:spacing w:before="130" w:line="221" w:lineRule="auto"/>
              <w:ind w:left="766"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3268" w:type="dxa"/>
          </w:tcPr>
          <w:p w14:paraId="39037038">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596" w:type="dxa"/>
          </w:tcPr>
          <w:p w14:paraId="169E75B9">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164" w:type="dxa"/>
          </w:tcPr>
          <w:p w14:paraId="4A4BACE8">
            <w:pPr>
              <w:spacing w:before="130" w:line="222" w:lineRule="auto"/>
              <w:ind w:left="770"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2015"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592" w:type="dxa"/>
          </w:tcPr>
          <w:p w14:paraId="0664E142">
            <w:pPr>
              <w:spacing w:before="160" w:line="186" w:lineRule="auto"/>
              <w:ind w:left="104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268" w:type="dxa"/>
          </w:tcPr>
          <w:p w14:paraId="4EFBBD88">
            <w:pPr>
              <w:spacing w:before="161" w:line="185" w:lineRule="auto"/>
              <w:ind w:left="104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96" w:type="dxa"/>
          </w:tcPr>
          <w:p w14:paraId="4459422C">
            <w:pPr>
              <w:spacing w:before="126" w:line="223" w:lineRule="auto"/>
              <w:ind w:left="835"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164" w:type="dxa"/>
          </w:tcPr>
          <w:p w14:paraId="08B730F2">
            <w:pPr>
              <w:spacing w:before="161" w:line="185" w:lineRule="auto"/>
              <w:ind w:left="103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41B0AF">
            <w:pPr>
              <w:spacing w:before="244" w:line="185" w:lineRule="auto"/>
              <w:ind w:left="353"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2015" w:type="dxa"/>
          </w:tcPr>
          <w:p w14:paraId="0BC6AEF1">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592" w:type="dxa"/>
          </w:tcPr>
          <w:p w14:paraId="23A5A052">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54647605">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521E1F82">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5E9AD73D">
            <w:pPr>
              <w:ind w:firstLine="480"/>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CBF30C">
            <w:pPr>
              <w:spacing w:before="245" w:line="183"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2015" w:type="dxa"/>
          </w:tcPr>
          <w:p w14:paraId="3948A440">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592" w:type="dxa"/>
          </w:tcPr>
          <w:p w14:paraId="7B49C0B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707FE75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A2292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restart"/>
            <w:tcBorders>
              <w:bottom w:val="nil"/>
            </w:tcBorders>
          </w:tcPr>
          <w:p w14:paraId="56D2D3F7">
            <w:pPr>
              <w:spacing w:line="295" w:lineRule="auto"/>
              <w:ind w:firstLine="480"/>
              <w:jc w:val="left"/>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right="133"/>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 xml:space="preserve">运输起止 </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8658513">
            <w:pPr>
              <w:spacing w:before="248" w:line="185" w:lineRule="auto"/>
              <w:ind w:left="35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2015" w:type="dxa"/>
          </w:tcPr>
          <w:p w14:paraId="36AFD803">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592" w:type="dxa"/>
          </w:tcPr>
          <w:p w14:paraId="6ED1AAD5">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49D4C9E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2E51139D">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continue"/>
            <w:tcBorders>
              <w:top w:val="nil"/>
            </w:tcBorders>
          </w:tcPr>
          <w:p w14:paraId="7B1C24A5">
            <w:pPr>
              <w:ind w:firstLine="480"/>
              <w:jc w:val="left"/>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CC6FB0">
            <w:pPr>
              <w:spacing w:before="247" w:line="182"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2015" w:type="dxa"/>
          </w:tcPr>
          <w:p w14:paraId="5D3D29F3">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592" w:type="dxa"/>
          </w:tcPr>
          <w:p w14:paraId="7D74E86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6324CDB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4E58C37">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60C5C706">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E297898">
            <w:pPr>
              <w:spacing w:before="247" w:line="183" w:lineRule="auto"/>
              <w:ind w:left="352"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015" w:type="dxa"/>
          </w:tcPr>
          <w:p w14:paraId="0765EE20">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592" w:type="dxa"/>
          </w:tcPr>
          <w:p w14:paraId="50BF95F4">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0C66E12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4FB7B6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76D464B5">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D34D61B">
            <w:pPr>
              <w:spacing w:before="211" w:line="219" w:lineRule="auto"/>
              <w:ind w:left="3008"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760" w:type="dxa"/>
            <w:gridSpan w:val="2"/>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23026ED3">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5282633">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3625" w:type="dxa"/>
            <w:vAlign w:val="center"/>
          </w:tcPr>
          <w:p w14:paraId="305C0484">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1126" w:type="dxa"/>
            <w:vAlign w:val="center"/>
          </w:tcPr>
          <w:p w14:paraId="7DFA224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1138" w:type="dxa"/>
            <w:vAlign w:val="center"/>
          </w:tcPr>
          <w:p w14:paraId="4F1CEC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1138" w:type="dxa"/>
            <w:vAlign w:val="center"/>
          </w:tcPr>
          <w:p w14:paraId="755A0E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449" w:type="dxa"/>
            <w:vAlign w:val="center"/>
          </w:tcPr>
          <w:p w14:paraId="224BF6B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3328" w:type="dxa"/>
            <w:vAlign w:val="center"/>
          </w:tcPr>
          <w:p w14:paraId="34C94AF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8A4A0D1">
            <w:pPr>
              <w:spacing w:before="300" w:line="186"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625" w:type="dxa"/>
          </w:tcPr>
          <w:p w14:paraId="52317DAD">
            <w:pPr>
              <w:spacing w:before="266"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1126" w:type="dxa"/>
          </w:tcPr>
          <w:p w14:paraId="672FA93C">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0E106C9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339EAD5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2CE4F2">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625" w:type="dxa"/>
          </w:tcPr>
          <w:p w14:paraId="7EB64AB8">
            <w:pPr>
              <w:spacing w:before="266"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1126" w:type="dxa"/>
          </w:tcPr>
          <w:p w14:paraId="3BBC67A8">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685F9BB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12F3739F">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E29E34B">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625" w:type="dxa"/>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技术资料</w:t>
            </w:r>
          </w:p>
        </w:tc>
        <w:tc>
          <w:tcPr>
            <w:tcW w:w="1126" w:type="dxa"/>
          </w:tcPr>
          <w:p w14:paraId="22527BA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1138"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033A216">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6A66C63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FBD43CA">
            <w:pPr>
              <w:spacing w:before="306"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625" w:type="dxa"/>
          </w:tcPr>
          <w:p w14:paraId="33C79F9D">
            <w:pPr>
              <w:spacing w:before="268" w:line="221" w:lineRule="auto"/>
              <w:ind w:firstLine="54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1126" w:type="dxa"/>
          </w:tcPr>
          <w:p w14:paraId="4BA42833">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783E5B7">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496E48BD">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53296D2">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9179" w:type="dxa"/>
            <w:gridSpan w:val="5"/>
          </w:tcPr>
          <w:p w14:paraId="4F9D9CB1">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0D7974CF">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left="6150" w:right="1626" w:firstLine="52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58132356">
      <w:pPr>
        <w:spacing w:line="172" w:lineRule="exact"/>
        <w:ind w:firstLine="480"/>
        <w:rPr>
          <w:color w:val="000000" w:themeColor="text1"/>
          <w:highlight w:val="none"/>
          <w14:textFill>
            <w14:solidFill>
              <w14:schemeClr w14:val="tx1"/>
            </w14:solidFill>
          </w14:textFill>
        </w:rPr>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D954008">
            <w:pPr>
              <w:spacing w:before="100"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5BC5CB8A">
            <w:pPr>
              <w:spacing w:before="101" w:line="185" w:lineRule="auto"/>
              <w:ind w:left="122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00" w:type="dxa"/>
          </w:tcPr>
          <w:p w14:paraId="00E5B34D">
            <w:pPr>
              <w:spacing w:before="102" w:line="183" w:lineRule="auto"/>
              <w:ind w:left="100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840" w:type="dxa"/>
          </w:tcPr>
          <w:p w14:paraId="1ECBF7A4">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840" w:type="dxa"/>
          </w:tcPr>
          <w:p w14:paraId="056E562B">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239" w:type="dxa"/>
          </w:tcPr>
          <w:p w14:paraId="4E3B004B">
            <w:pPr>
              <w:spacing w:before="103" w:line="182" w:lineRule="auto"/>
              <w:ind w:left="107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498" w:type="dxa"/>
          </w:tcPr>
          <w:p w14:paraId="4A666696">
            <w:pPr>
              <w:spacing w:before="102" w:line="183" w:lineRule="auto"/>
              <w:ind w:left="58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861" w:type="dxa"/>
          </w:tcPr>
          <w:p w14:paraId="64EA243D">
            <w:pPr>
              <w:spacing w:before="103" w:line="182" w:lineRule="auto"/>
              <w:ind w:left="101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120" w:type="dxa"/>
          </w:tcPr>
          <w:p w14:paraId="3A43A729">
            <w:pPr>
              <w:spacing w:before="102" w:line="183" w:lineRule="auto"/>
              <w:ind w:left="516"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125" w:type="dxa"/>
          </w:tcPr>
          <w:p w14:paraId="1F6A5B41">
            <w:pPr>
              <w:spacing w:before="102" w:line="183" w:lineRule="auto"/>
              <w:ind w:left="51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3C97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543" w:type="dxa"/>
            <w:vAlign w:val="center"/>
          </w:tcPr>
          <w:p w14:paraId="1C095A9C">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2100" w:type="dxa"/>
            <w:vAlign w:val="center"/>
          </w:tcPr>
          <w:p w14:paraId="1144C93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840" w:type="dxa"/>
            <w:vAlign w:val="center"/>
          </w:tcPr>
          <w:p w14:paraId="1FF306A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840" w:type="dxa"/>
            <w:vAlign w:val="center"/>
          </w:tcPr>
          <w:p w14:paraId="3A0C809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239" w:type="dxa"/>
            <w:vAlign w:val="center"/>
          </w:tcPr>
          <w:p w14:paraId="6C8D037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1498" w:type="dxa"/>
            <w:vAlign w:val="center"/>
          </w:tcPr>
          <w:p w14:paraId="20FE45AE">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861" w:type="dxa"/>
            <w:vAlign w:val="center"/>
          </w:tcPr>
          <w:p w14:paraId="5135BD48">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120" w:type="dxa"/>
            <w:vAlign w:val="center"/>
          </w:tcPr>
          <w:p w14:paraId="5C07FD5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1125" w:type="dxa"/>
            <w:vAlign w:val="center"/>
          </w:tcPr>
          <w:p w14:paraId="631110F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1D0C95">
            <w:pPr>
              <w:spacing w:before="237"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127DB61B">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0949FB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A2EFAD4">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97BCB4E">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20DD8C97">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04C09A98">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3FEE867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D5D0123">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25EB612D">
            <w:pPr>
              <w:ind w:firstLine="480"/>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8B425D2">
            <w:pPr>
              <w:spacing w:before="239" w:line="185" w:lineRule="auto"/>
              <w:ind w:left="2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3" w:type="dxa"/>
          </w:tcPr>
          <w:p w14:paraId="6B76A6F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22F9B50E">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CE8AD0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558C3498">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401026EE">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734C0FC2">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057E7C9">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1799928F">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139FDED3">
            <w:pPr>
              <w:ind w:firstLine="480"/>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79B381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6AF62C7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589DA183">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425710A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AAA73B">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612DFC90">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3D901DD">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5133A6C0">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5EFB917">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5D098F95">
            <w:pPr>
              <w:ind w:firstLine="480"/>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B8D51F5">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3C57521C">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4B4DC5E5">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A7B9E9D">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F66291">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032640D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5B940845">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9E3746F">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0989CB19">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96A844B">
            <w:pPr>
              <w:ind w:firstLine="480"/>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FB43BA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22FA97F8">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65FB561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54CE9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6DEF622F">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7BB2033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CAD9E71">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120073E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7B7ADD0B">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C2965EB">
            <w:pPr>
              <w:ind w:firstLine="480"/>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1CA7531E">
            <w:pPr>
              <w:spacing w:before="207" w:line="219" w:lineRule="auto"/>
              <w:ind w:left="3416"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106" w:type="dxa"/>
            <w:gridSpan w:val="3"/>
          </w:tcPr>
          <w:p w14:paraId="59BD8D6D">
            <w:pPr>
              <w:spacing w:before="207"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3"/>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41923D3">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2CADF1BF">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1346873A">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2B0D7D5B">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4E7EB344">
      <w:pPr>
        <w:spacing w:line="127" w:lineRule="exact"/>
        <w:ind w:firstLine="480"/>
        <w:rPr>
          <w:color w:val="000000" w:themeColor="text1"/>
          <w:highlight w:val="none"/>
          <w14:textFill>
            <w14:solidFill>
              <w14:schemeClr w14:val="tx1"/>
            </w14:solidFill>
          </w14:textFill>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C82C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CCE6EC">
            <w:pPr>
              <w:spacing w:before="276" w:line="222" w:lineRule="auto"/>
              <w:ind w:left="334"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765" w:type="dxa"/>
          </w:tcPr>
          <w:p w14:paraId="5A6BF21B">
            <w:pPr>
              <w:spacing w:before="276" w:line="221" w:lineRule="auto"/>
              <w:ind w:left="2544"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3354" w:type="dxa"/>
          </w:tcPr>
          <w:p w14:paraId="1880C0B1">
            <w:pPr>
              <w:spacing w:before="276" w:line="219" w:lineRule="auto"/>
              <w:ind w:firstLine="55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3362" w:type="dxa"/>
          </w:tcPr>
          <w:p w14:paraId="22EA540A">
            <w:pPr>
              <w:spacing w:before="276" w:line="222" w:lineRule="auto"/>
              <w:ind w:left="1215"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659D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2794CB0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765" w:type="dxa"/>
          </w:tcPr>
          <w:p w14:paraId="05DF1A0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3354" w:type="dxa"/>
          </w:tcPr>
          <w:p w14:paraId="0C1B742C">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574F0EBC">
            <w:pPr>
              <w:ind w:firstLine="480"/>
              <w:rPr>
                <w:rFonts w:ascii="Arial" w:hAnsi="Times New Roman" w:eastAsia="宋体" w:cs="Times New Roman"/>
                <w:color w:val="000000" w:themeColor="text1"/>
                <w:highlight w:val="none"/>
                <w14:textFill>
                  <w14:solidFill>
                    <w14:schemeClr w14:val="tx1"/>
                  </w14:solidFill>
                </w14:textFill>
              </w:rPr>
            </w:pPr>
          </w:p>
        </w:tc>
      </w:tr>
      <w:tr w14:paraId="1BEC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2ABECE5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765" w:type="dxa"/>
          </w:tcPr>
          <w:p w14:paraId="5BE289EB">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3354" w:type="dxa"/>
          </w:tcPr>
          <w:p w14:paraId="350C8E1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24E6A58B">
            <w:pPr>
              <w:ind w:firstLine="480"/>
              <w:rPr>
                <w:rFonts w:ascii="Arial" w:hAnsi="Times New Roman" w:eastAsia="宋体" w:cs="Times New Roman"/>
                <w:color w:val="000000" w:themeColor="text1"/>
                <w:highlight w:val="none"/>
                <w14:textFill>
                  <w14:solidFill>
                    <w14:schemeClr w14:val="tx1"/>
                  </w14:solidFill>
                </w14:textFill>
              </w:rPr>
            </w:pPr>
          </w:p>
        </w:tc>
      </w:tr>
      <w:tr w14:paraId="477A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5C3BD88D">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765" w:type="dxa"/>
          </w:tcPr>
          <w:p w14:paraId="5E94B0CF">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3354" w:type="dxa"/>
          </w:tcPr>
          <w:p w14:paraId="79E1B2E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1A85C1C">
            <w:pPr>
              <w:ind w:firstLine="480"/>
              <w:rPr>
                <w:rFonts w:ascii="Arial" w:hAnsi="Times New Roman" w:eastAsia="宋体" w:cs="Times New Roman"/>
                <w:color w:val="000000" w:themeColor="text1"/>
                <w:highlight w:val="none"/>
                <w14:textFill>
                  <w14:solidFill>
                    <w14:schemeClr w14:val="tx1"/>
                  </w14:solidFill>
                </w14:textFill>
              </w:rPr>
            </w:pPr>
          </w:p>
        </w:tc>
      </w:tr>
      <w:tr w14:paraId="216B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2856D749">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765" w:type="dxa"/>
          </w:tcPr>
          <w:p w14:paraId="51135D62">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3354" w:type="dxa"/>
          </w:tcPr>
          <w:p w14:paraId="2B552E1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11AE1510">
            <w:pPr>
              <w:ind w:firstLine="480"/>
              <w:rPr>
                <w:rFonts w:ascii="Arial" w:hAnsi="Times New Roman" w:eastAsia="宋体" w:cs="Times New Roman"/>
                <w:color w:val="000000" w:themeColor="text1"/>
                <w:highlight w:val="none"/>
                <w14:textFill>
                  <w14:solidFill>
                    <w14:schemeClr w14:val="tx1"/>
                  </w14:solidFill>
                </w14:textFill>
              </w:rPr>
            </w:pPr>
          </w:p>
        </w:tc>
      </w:tr>
      <w:tr w14:paraId="48A1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F4C935">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765" w:type="dxa"/>
          </w:tcPr>
          <w:p w14:paraId="1BFD374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3354" w:type="dxa"/>
          </w:tcPr>
          <w:p w14:paraId="6A9CB9E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7C177D2">
            <w:pPr>
              <w:ind w:firstLine="480"/>
              <w:rPr>
                <w:rFonts w:ascii="Arial" w:hAnsi="Times New Roman" w:eastAsia="宋体" w:cs="Times New Roman"/>
                <w:color w:val="000000" w:themeColor="text1"/>
                <w:highlight w:val="none"/>
                <w14:textFill>
                  <w14:solidFill>
                    <w14:schemeClr w14:val="tx1"/>
                  </w14:solidFill>
                </w14:textFill>
              </w:rPr>
            </w:pPr>
          </w:p>
        </w:tc>
      </w:tr>
      <w:tr w14:paraId="1E1B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D9EBF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4D8C09D5">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14:paraId="496B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08AA1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2DEB858C">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7E5BFA4D">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12FA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499C5C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66BFBC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5433382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73989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44185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68AAD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87CEE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7C03EA5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5273FF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D99387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C792B5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63E0EBD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562F3E9B">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764059C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1755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C9555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B0A8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347CEC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EF1FB5C">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88EE24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7E5D5F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DE2F498">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982870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268914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A2F48E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9F22D3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6D84F7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68F994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10BE04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FE9BA3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E4E0DB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49F1E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6E57BF2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B7E730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0A3BEE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DF4C1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D01798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3D07AC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6632FF7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1F2ED950">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更新电子汽车衡项目</w:t>
      </w:r>
    </w:p>
    <w:p w14:paraId="5779C9F9">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360E13D6">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更新电子汽车衡项目</w:t>
      </w:r>
    </w:p>
    <w:p w14:paraId="19A6B58D">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19" w:name="_Toc14341849"/>
    </w:p>
    <w:bookmarkEnd w:id="119"/>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更新电子汽车衡项目</w:t>
            </w:r>
          </w:p>
          <w:p w14:paraId="1BC1E65E">
            <w:pPr>
              <w:ind w:firstLine="482"/>
              <w:jc w:val="center"/>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CGZX2025030245</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2800F225">
      <w:pPr>
        <w:pStyle w:val="16"/>
        <w:rPr>
          <w:color w:val="000000" w:themeColor="text1"/>
          <w:highlight w:val="none"/>
          <w14:textFill>
            <w14:solidFill>
              <w14:schemeClr w14:val="tx1"/>
            </w14:solidFill>
          </w14:textFill>
        </w:rPr>
      </w:pPr>
    </w:p>
    <w:p w14:paraId="07E8BAC4">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8"/>
        <w:gridCol w:w="728"/>
        <w:gridCol w:w="725"/>
        <w:gridCol w:w="1233"/>
        <w:gridCol w:w="797"/>
        <w:gridCol w:w="10035"/>
      </w:tblGrid>
      <w:tr w14:paraId="047B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77F94E6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14:paraId="22E96483">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5257111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14:paraId="33AC9757">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14:paraId="77EE719C">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14:paraId="448CC85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501" w:type="pct"/>
            <w:vAlign w:val="center"/>
          </w:tcPr>
          <w:p w14:paraId="4BBA4F5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79CD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5BA0DCE0">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5E6D1616">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14:paraId="57B8A67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14:paraId="4A6508B3">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14:paraId="72B527B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14:paraId="29BCA15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3501" w:type="pct"/>
            <w:vAlign w:val="center"/>
          </w:tcPr>
          <w:p w14:paraId="71B86E0D">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57C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046BEF5">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5489793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550CD30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14:paraId="613D7961">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14:paraId="780EC88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24CFA5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4F4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07715550">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FE29757">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2428964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14:paraId="6A4C3C90">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14:paraId="3231C46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0DBFB94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032F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4DF8C1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49591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14:paraId="4F6CE88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14:paraId="26B3AC3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14:paraId="7CFB3D4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1" w:type="pct"/>
            <w:vAlign w:val="center"/>
          </w:tcPr>
          <w:p w14:paraId="28F6EF2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778D4029">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4804FB3A">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w:t>
            </w:r>
            <w:bookmarkStart w:id="120" w:name="_GoBack"/>
            <w:bookmarkEnd w:id="120"/>
            <w:r>
              <w:rPr>
                <w:rFonts w:hint="eastAsia" w:ascii="宋体" w:hAnsi="宋体" w:eastAsia="宋体" w:cs="宋体"/>
                <w:bCs/>
                <w:color w:val="000000" w:themeColor="text1"/>
                <w:sz w:val="18"/>
                <w:szCs w:val="18"/>
                <w:highlight w:val="none"/>
                <w14:textFill>
                  <w14:solidFill>
                    <w14:schemeClr w14:val="tx1"/>
                  </w14:solidFill>
                </w14:textFill>
              </w:rPr>
              <w:t>分）</w:t>
            </w:r>
          </w:p>
        </w:tc>
      </w:tr>
      <w:tr w14:paraId="37E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3FCFE12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B7323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14:paraId="4744E8F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14:paraId="77F00FA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14:paraId="6B08971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501" w:type="pct"/>
            <w:vAlign w:val="center"/>
          </w:tcPr>
          <w:p w14:paraId="1D960322">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B6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6242D8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14:paraId="25A0DF5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14:paraId="1476C80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14:paraId="49C73FD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14:paraId="7469785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14:paraId="29319A9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F80BAE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F0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57E2D5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626C7D6">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7B122E2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14:paraId="49DE6C64">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14:paraId="6961369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501" w:type="pct"/>
            <w:shd w:val="clear" w:color="auto" w:fill="auto"/>
            <w:vAlign w:val="center"/>
          </w:tcPr>
          <w:p w14:paraId="33BB7D1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2D4A7616">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CA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4B009363">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3F187B2A">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05F0A57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14:paraId="1ABFE4B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14:paraId="2BC686B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1" w:type="pct"/>
            <w:vAlign w:val="center"/>
          </w:tcPr>
          <w:p w14:paraId="17382D6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111763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bl>
    <w:p w14:paraId="7E17AA28">
      <w:pPr>
        <w:pStyle w:val="16"/>
        <w:ind w:firstLine="482"/>
        <w:outlineLvl w:val="2"/>
        <w:rPr>
          <w:rFonts w:hAnsi="宋体" w:eastAsia="宋体" w:cs="宋体"/>
          <w:b/>
          <w:bCs/>
          <w:color w:val="000000" w:themeColor="text1"/>
          <w:sz w:val="24"/>
          <w:szCs w:val="24"/>
          <w:highlight w:val="none"/>
          <w14:textFill>
            <w14:solidFill>
              <w14:schemeClr w14:val="tx1"/>
            </w14:solidFill>
          </w14:textFill>
        </w:rPr>
        <w:sectPr>
          <w:footerReference r:id="rId36"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w:t>
      </w:r>
      <w:r>
        <w:rPr>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Fonts w:ascii="宋体" w:hAnsi="宋体" w:eastAsia="宋体" w:cs="宋体"/>
          <w:color w:val="000000" w:themeColor="text1"/>
          <w:sz w:val="24"/>
          <w:szCs w:val="24"/>
          <w:highlight w:val="none"/>
          <w14:textFill>
            <w14:solidFill>
              <w14:schemeClr w14:val="tx1"/>
            </w14:solidFill>
          </w14:textFill>
        </w:rPr>
        <w:t>://ecaitong.sinotruk.com:8012/#/login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2.配套能力“供货类别”选“非生产招标→工艺设备→工艺研究院”，业务主管部门为“工艺研究院”。</w:t>
      </w:r>
    </w:p>
    <w:p w14:paraId="7DBC3617">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\t "dlt" </w:instrText>
      </w:r>
      <w:r>
        <w:rPr>
          <w:color w:val="000000" w:themeColor="text1"/>
          <w:highlight w:val="none"/>
          <w14:textFill>
            <w14:solidFill>
              <w14:schemeClr w14:val="tx1"/>
            </w14:solidFill>
          </w14:textFill>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w:t>
      </w:r>
      <w:r>
        <w:rPr>
          <w:rStyle w:val="43"/>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Style w:val="43"/>
          <w:rFonts w:hint="eastAsia" w:ascii="宋体" w:hAnsi="宋体" w:eastAsia="宋体" w:cs="宋体"/>
          <w:color w:val="000000" w:themeColor="text1"/>
          <w:sz w:val="24"/>
          <w:szCs w:val="24"/>
          <w:highlight w:val="none"/>
          <w14:textFill>
            <w14:solidFill>
              <w14:schemeClr w14:val="tx1"/>
            </w14:solidFill>
          </w14:textFill>
        </w:rPr>
        <w:t>://ecaitong.sinotruk.com:8012/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color w:val="000000" w:themeColor="text1"/>
          <w:highlight w:val="none"/>
          <w14:textFill>
            <w14:solidFill>
              <w14:schemeClr w14:val="tx1"/>
            </w14:solidFill>
          </w14:textFill>
        </w:rPr>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BFCE795"/>
    <w:multiLevelType w:val="singleLevel"/>
    <w:tmpl w:val="5BFCE795"/>
    <w:lvl w:ilvl="0" w:tentative="0">
      <w:start w:val="1"/>
      <w:numFmt w:val="decimal"/>
      <w:suff w:val="nothing"/>
      <w:lvlText w:val="（%1）"/>
      <w:lvlJc w:val="left"/>
      <w:pPr>
        <w:ind w:left="90"/>
      </w:p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num w:numId="1">
    <w:abstractNumId w:val="8"/>
  </w:num>
  <w:num w:numId="2">
    <w:abstractNumId w:val="7"/>
  </w:num>
  <w:num w:numId="3">
    <w:abstractNumId w:val="0"/>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21F6609"/>
    <w:rsid w:val="03141B37"/>
    <w:rsid w:val="03FB660C"/>
    <w:rsid w:val="04957D93"/>
    <w:rsid w:val="05D04016"/>
    <w:rsid w:val="064D4C30"/>
    <w:rsid w:val="068038E4"/>
    <w:rsid w:val="0720418E"/>
    <w:rsid w:val="07A94F53"/>
    <w:rsid w:val="0A724F69"/>
    <w:rsid w:val="0BDA3F61"/>
    <w:rsid w:val="0BF974C0"/>
    <w:rsid w:val="0C460641"/>
    <w:rsid w:val="0C755A7E"/>
    <w:rsid w:val="0C7A26AB"/>
    <w:rsid w:val="0F101D5A"/>
    <w:rsid w:val="0F263065"/>
    <w:rsid w:val="0F2D6973"/>
    <w:rsid w:val="0FB510E8"/>
    <w:rsid w:val="10875C02"/>
    <w:rsid w:val="10B24F0F"/>
    <w:rsid w:val="10C14AA9"/>
    <w:rsid w:val="11B916E4"/>
    <w:rsid w:val="17536555"/>
    <w:rsid w:val="18AD5EB2"/>
    <w:rsid w:val="19E7404F"/>
    <w:rsid w:val="1A6A1FFB"/>
    <w:rsid w:val="1A8B2040"/>
    <w:rsid w:val="1C281923"/>
    <w:rsid w:val="1C982C12"/>
    <w:rsid w:val="1D24052A"/>
    <w:rsid w:val="20156003"/>
    <w:rsid w:val="20FA7627"/>
    <w:rsid w:val="21480A2B"/>
    <w:rsid w:val="21624CCE"/>
    <w:rsid w:val="21F37ABB"/>
    <w:rsid w:val="2279375B"/>
    <w:rsid w:val="23503E27"/>
    <w:rsid w:val="27DF7C61"/>
    <w:rsid w:val="27EE1E60"/>
    <w:rsid w:val="29B07217"/>
    <w:rsid w:val="2B8B2FAB"/>
    <w:rsid w:val="2C6E0193"/>
    <w:rsid w:val="2E402CEA"/>
    <w:rsid w:val="2EA26189"/>
    <w:rsid w:val="2EA61897"/>
    <w:rsid w:val="2FA62DB5"/>
    <w:rsid w:val="30084604"/>
    <w:rsid w:val="30257F10"/>
    <w:rsid w:val="307C43CB"/>
    <w:rsid w:val="323068E5"/>
    <w:rsid w:val="32E70054"/>
    <w:rsid w:val="341F1C15"/>
    <w:rsid w:val="3427304C"/>
    <w:rsid w:val="34885742"/>
    <w:rsid w:val="34FD663A"/>
    <w:rsid w:val="35582A58"/>
    <w:rsid w:val="3662627D"/>
    <w:rsid w:val="382E4EF7"/>
    <w:rsid w:val="38A071A7"/>
    <w:rsid w:val="38AC295D"/>
    <w:rsid w:val="38AF65B3"/>
    <w:rsid w:val="3B0E0B70"/>
    <w:rsid w:val="3BD80A06"/>
    <w:rsid w:val="3E567086"/>
    <w:rsid w:val="3E8C12C9"/>
    <w:rsid w:val="3FB452E6"/>
    <w:rsid w:val="40343568"/>
    <w:rsid w:val="413844C0"/>
    <w:rsid w:val="41C0096A"/>
    <w:rsid w:val="42047494"/>
    <w:rsid w:val="423A097D"/>
    <w:rsid w:val="42B64ABE"/>
    <w:rsid w:val="44C11A2F"/>
    <w:rsid w:val="44D80F97"/>
    <w:rsid w:val="45960F56"/>
    <w:rsid w:val="459B7A02"/>
    <w:rsid w:val="45D773A8"/>
    <w:rsid w:val="475B1F20"/>
    <w:rsid w:val="47ED3A0E"/>
    <w:rsid w:val="4997611E"/>
    <w:rsid w:val="49A122FF"/>
    <w:rsid w:val="49B40942"/>
    <w:rsid w:val="4A0423E2"/>
    <w:rsid w:val="4B234088"/>
    <w:rsid w:val="4B931E00"/>
    <w:rsid w:val="4D1C49B5"/>
    <w:rsid w:val="4DB17108"/>
    <w:rsid w:val="4F7800DE"/>
    <w:rsid w:val="4FD72DAC"/>
    <w:rsid w:val="50311209"/>
    <w:rsid w:val="527C523F"/>
    <w:rsid w:val="52D94272"/>
    <w:rsid w:val="53981770"/>
    <w:rsid w:val="560F39DF"/>
    <w:rsid w:val="568C68DA"/>
    <w:rsid w:val="57FF3A83"/>
    <w:rsid w:val="59202DBE"/>
    <w:rsid w:val="5B9006C7"/>
    <w:rsid w:val="5BF62C36"/>
    <w:rsid w:val="5CCD38AD"/>
    <w:rsid w:val="5D670D77"/>
    <w:rsid w:val="5EAF3C67"/>
    <w:rsid w:val="5F291221"/>
    <w:rsid w:val="5F2D36E0"/>
    <w:rsid w:val="624F536A"/>
    <w:rsid w:val="62AC15C2"/>
    <w:rsid w:val="62BE6B48"/>
    <w:rsid w:val="632005EF"/>
    <w:rsid w:val="63376971"/>
    <w:rsid w:val="65233710"/>
    <w:rsid w:val="660122FC"/>
    <w:rsid w:val="66F44096"/>
    <w:rsid w:val="67624649"/>
    <w:rsid w:val="67AA29A7"/>
    <w:rsid w:val="68016A6B"/>
    <w:rsid w:val="681A76CC"/>
    <w:rsid w:val="68CD41C4"/>
    <w:rsid w:val="6AF25AF5"/>
    <w:rsid w:val="6BB969CA"/>
    <w:rsid w:val="6D963382"/>
    <w:rsid w:val="6E1D7B18"/>
    <w:rsid w:val="6FA540B0"/>
    <w:rsid w:val="70F37476"/>
    <w:rsid w:val="71935000"/>
    <w:rsid w:val="724C4D86"/>
    <w:rsid w:val="72667DD1"/>
    <w:rsid w:val="739058EA"/>
    <w:rsid w:val="74116287"/>
    <w:rsid w:val="74FA57D9"/>
    <w:rsid w:val="753010DC"/>
    <w:rsid w:val="764A528A"/>
    <w:rsid w:val="77553269"/>
    <w:rsid w:val="783E5E7C"/>
    <w:rsid w:val="78E73CFD"/>
    <w:rsid w:val="78FF0DA4"/>
    <w:rsid w:val="796047F4"/>
    <w:rsid w:val="7D86789D"/>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72</Pages>
  <Words>1500</Words>
  <Characters>1609</Characters>
  <Lines>293</Lines>
  <Paragraphs>82</Paragraphs>
  <TotalTime>21</TotalTime>
  <ScaleCrop>false</ScaleCrop>
  <LinksUpToDate>false</LinksUpToDate>
  <CharactersWithSpaces>1639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2025-04-01T04:53:35Z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9FE04B24E6F140E5B5CF4774FC0E2845_13</vt:lpwstr>
  </property>
  <property fmtid="{D5CDD505-2E9C-101B-9397-08002B2CF9AE}" pid="4" name="KSOTemplateDocerSaveRecord">
    <vt:lpwstr>eyJoZGlkIjoiMmVhYjIwYTFkMDUyN2RmOGI2OTNiMWRjYmY5MjBlYTUiLCJ1c2VySWQiOiI1OTM1OTg5MjIifQ==</vt:lpwstr>
  </property>
</Properties>
</file>