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rPr>
      </w:pPr>
    </w:p>
    <w:p>
      <w:pPr>
        <w:jc w:val="center"/>
        <w:rPr>
          <w:rFonts w:hint="eastAsia" w:ascii="宋体" w:hAnsi="宋体"/>
          <w:sz w:val="44"/>
          <w:szCs w:val="48"/>
        </w:rPr>
      </w:pPr>
    </w:p>
    <w:p>
      <w:pPr>
        <w:jc w:val="center"/>
        <w:rPr>
          <w:rFonts w:ascii="宋体" w:hAnsi="宋体"/>
          <w:sz w:val="44"/>
          <w:szCs w:val="48"/>
        </w:rPr>
      </w:pPr>
      <w:r>
        <w:rPr>
          <w:rFonts w:hint="eastAsia" w:ascii="宋体" w:hAnsi="宋体"/>
          <w:sz w:val="44"/>
          <w:szCs w:val="48"/>
        </w:rPr>
        <w:t>中国重汽集团济南动力有限公司</w:t>
      </w:r>
    </w:p>
    <w:p>
      <w:pPr>
        <w:jc w:val="center"/>
        <w:rPr>
          <w:rFonts w:ascii="宋体" w:hAnsi="宋体"/>
          <w:b/>
          <w:bCs/>
          <w:sz w:val="44"/>
          <w:szCs w:val="48"/>
        </w:rPr>
      </w:pPr>
      <w:r>
        <w:rPr>
          <w:rFonts w:hint="eastAsia"/>
          <w:sz w:val="44"/>
          <w:szCs w:val="44"/>
        </w:rPr>
        <w:t>AGV自动换刀技术研究项</w:t>
      </w:r>
      <w:r>
        <w:rPr>
          <w:rFonts w:hint="eastAsia" w:ascii="宋体" w:hAnsi="宋体"/>
          <w:sz w:val="44"/>
          <w:szCs w:val="48"/>
        </w:rPr>
        <w:t>目</w:t>
      </w:r>
    </w:p>
    <w:p>
      <w:pPr>
        <w:ind w:right="1400"/>
        <w:jc w:val="center"/>
        <w:rPr>
          <w:sz w:val="28"/>
          <w:szCs w:val="28"/>
        </w:rPr>
      </w:pPr>
    </w:p>
    <w:p>
      <w:pPr>
        <w:ind w:right="1400"/>
        <w:jc w:val="center"/>
        <w:rPr>
          <w:strike/>
          <w:sz w:val="28"/>
          <w:szCs w:val="28"/>
          <w:highlight w:val="yellow"/>
          <w14:textFill>
            <w14:gradFill>
              <w14:gsLst>
                <w14:gs w14:pos="0">
                  <w14:srgbClr w14:val="E30000"/>
                </w14:gs>
                <w14:gs w14:pos="100000">
                  <w14:srgbClr w14:val="760303"/>
                </w14:gs>
              </w14:gsLst>
              <w14:lin w14:ang="0" w14:scaled="0"/>
            </w14:gradFill>
          </w14:textFill>
        </w:rPr>
      </w:pPr>
      <w:r>
        <w:rPr>
          <w:rFonts w:hint="eastAsia"/>
          <w:sz w:val="28"/>
          <w:szCs w:val="28"/>
        </w:rPr>
        <w:t>招标编号：</w:t>
      </w:r>
    </w:p>
    <w:p>
      <w:pPr>
        <w:jc w:val="right"/>
        <w:rPr>
          <w:sz w:val="28"/>
          <w:szCs w:val="28"/>
        </w:rPr>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spacing w:line="480" w:lineRule="auto"/>
        <w:ind w:firstLine="1280" w:firstLineChars="400"/>
        <w:rPr>
          <w:rFonts w:ascii="华文仿宋" w:hAnsi="华文仿宋" w:eastAsia="华文仿宋"/>
          <w:sz w:val="32"/>
          <w:szCs w:val="28"/>
        </w:rPr>
      </w:pPr>
      <w:r>
        <w:rPr>
          <w:rFonts w:hint="eastAsia" w:ascii="华文仿宋" w:hAnsi="华文仿宋" w:eastAsia="华文仿宋"/>
          <w:sz w:val="32"/>
          <w:szCs w:val="28"/>
        </w:rPr>
        <w:t xml:space="preserve">编制： </w:t>
      </w:r>
      <w:r>
        <w:rPr>
          <w:rFonts w:hint="eastAsia" w:ascii="华文仿宋" w:hAnsi="华文仿宋" w:eastAsia="华文仿宋"/>
          <w:sz w:val="32"/>
          <w:szCs w:val="28"/>
          <w:lang w:val="en-US" w:eastAsia="zh-CN"/>
        </w:rPr>
        <w:t xml:space="preserve"> 宋文涛</w:t>
      </w:r>
      <w:r>
        <w:rPr>
          <w:rFonts w:hint="eastAsia" w:ascii="华文仿宋" w:hAnsi="华文仿宋" w:eastAsia="华文仿宋"/>
          <w:sz w:val="32"/>
          <w:szCs w:val="28"/>
        </w:rPr>
        <w:t xml:space="preserve">                  </w:t>
      </w:r>
    </w:p>
    <w:p>
      <w:pPr>
        <w:spacing w:line="480" w:lineRule="auto"/>
        <w:ind w:right="2240" w:firstLine="1280" w:firstLineChars="400"/>
        <w:rPr>
          <w:rFonts w:hint="eastAsia" w:ascii="华文仿宋" w:hAnsi="华文仿宋" w:eastAsia="华文仿宋"/>
          <w:sz w:val="32"/>
          <w:szCs w:val="28"/>
          <w:lang w:val="en-US" w:eastAsia="zh-CN"/>
        </w:rPr>
      </w:pPr>
      <w:r>
        <w:rPr>
          <w:rFonts w:hint="eastAsia" w:ascii="华文仿宋" w:hAnsi="华文仿宋" w:eastAsia="华文仿宋"/>
          <w:sz w:val="32"/>
          <w:szCs w:val="28"/>
        </w:rPr>
        <w:t xml:space="preserve">审核：  </w:t>
      </w:r>
      <w:r>
        <w:rPr>
          <w:rFonts w:hint="eastAsia" w:ascii="华文仿宋" w:hAnsi="华文仿宋" w:eastAsia="华文仿宋"/>
          <w:sz w:val="32"/>
          <w:szCs w:val="28"/>
          <w:lang w:val="en-US" w:eastAsia="zh-CN"/>
        </w:rPr>
        <w:t>陈  萌</w:t>
      </w:r>
    </w:p>
    <w:p>
      <w:pPr>
        <w:spacing w:line="480" w:lineRule="auto"/>
        <w:ind w:left="2557" w:leftChars="608" w:right="2240" w:hanging="1280" w:hangingChars="400"/>
        <w:jc w:val="left"/>
        <w:rPr>
          <w:rFonts w:ascii="华文仿宋" w:hAnsi="华文仿宋" w:eastAsia="华文仿宋"/>
          <w:sz w:val="32"/>
          <w:szCs w:val="28"/>
        </w:rPr>
      </w:pPr>
      <w:r>
        <w:rPr>
          <w:rFonts w:hint="eastAsia" w:ascii="华文仿宋" w:hAnsi="华文仿宋" w:eastAsia="华文仿宋"/>
          <w:sz w:val="32"/>
          <w:szCs w:val="28"/>
        </w:rPr>
        <w:t xml:space="preserve">会签：  </w:t>
      </w:r>
      <w:r>
        <w:rPr>
          <w:rFonts w:hint="eastAsia" w:ascii="华文仿宋" w:hAnsi="华文仿宋" w:eastAsia="华文仿宋"/>
          <w:sz w:val="32"/>
          <w:szCs w:val="28"/>
          <w:lang w:val="en-US" w:eastAsia="zh-CN"/>
        </w:rPr>
        <w:t>庄福河、亓茂富、陈丙磊、崔毅刚、孟庆贺、高森</w:t>
      </w:r>
      <w:r>
        <w:rPr>
          <w:rFonts w:hint="eastAsia" w:ascii="华文仿宋" w:hAnsi="华文仿宋" w:eastAsia="华文仿宋"/>
          <w:sz w:val="32"/>
          <w:szCs w:val="28"/>
        </w:rPr>
        <w:t xml:space="preserve">                </w:t>
      </w:r>
    </w:p>
    <w:p>
      <w:pPr>
        <w:spacing w:line="480" w:lineRule="auto"/>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批准：  </w:t>
      </w:r>
      <w:r>
        <w:rPr>
          <w:rFonts w:hint="eastAsia" w:ascii="华文仿宋" w:hAnsi="华文仿宋" w:eastAsia="华文仿宋"/>
          <w:sz w:val="32"/>
          <w:szCs w:val="28"/>
          <w:lang w:val="en-US" w:eastAsia="zh-CN"/>
        </w:rPr>
        <w:t>李成伍</w:t>
      </w: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jc w:val="left"/>
        <w:rPr>
          <w:rFonts w:ascii="华文仿宋" w:hAnsi="华文仿宋" w:eastAsia="华文仿宋"/>
          <w:sz w:val="32"/>
          <w:szCs w:val="28"/>
        </w:rPr>
      </w:pPr>
    </w:p>
    <w:p>
      <w:pPr>
        <w:jc w:val="center"/>
        <w:rPr>
          <w:rFonts w:ascii="宋体" w:hAnsi="宋体"/>
          <w:sz w:val="28"/>
          <w:szCs w:val="28"/>
        </w:rPr>
      </w:pPr>
      <w:r>
        <w:rPr>
          <w:rFonts w:hint="eastAsia" w:ascii="宋体" w:hAnsi="宋体"/>
          <w:sz w:val="28"/>
          <w:szCs w:val="28"/>
        </w:rPr>
        <w:t>招 标 人：中国重汽集团济南动力有限公司</w:t>
      </w:r>
    </w:p>
    <w:p>
      <w:pPr>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5</w:t>
      </w:r>
      <w:r>
        <w:rPr>
          <w:rFonts w:hint="eastAsia" w:ascii="宋体" w:hAnsi="宋体"/>
          <w:sz w:val="28"/>
          <w:szCs w:val="28"/>
          <w:u w:val="single"/>
        </w:rPr>
        <w:t>年0</w:t>
      </w:r>
      <w:r>
        <w:rPr>
          <w:rFonts w:hint="eastAsia" w:ascii="宋体" w:hAnsi="宋体"/>
          <w:sz w:val="28"/>
          <w:szCs w:val="28"/>
          <w:u w:val="single"/>
          <w:lang w:val="en-US" w:eastAsia="zh-CN"/>
        </w:rPr>
        <w:t>3</w:t>
      </w:r>
      <w:r>
        <w:rPr>
          <w:rFonts w:hint="eastAsia" w:ascii="宋体" w:hAnsi="宋体"/>
          <w:sz w:val="28"/>
          <w:szCs w:val="28"/>
          <w:u w:val="single"/>
        </w:rPr>
        <w:t>月</w:t>
      </w:r>
    </w:p>
    <w:p>
      <w:pPr>
        <w:jc w:val="center"/>
        <w:rPr>
          <w:rFonts w:ascii="黑体" w:hAnsi="黑体" w:eastAsia="黑体" w:cs="黑体"/>
          <w:sz w:val="44"/>
          <w:szCs w:val="40"/>
        </w:rPr>
        <w:sectPr>
          <w:footerReference r:id="rId6" w:type="first"/>
          <w:headerReference r:id="rId3" w:type="default"/>
          <w:footerReference r:id="rId4" w:type="default"/>
          <w:footerReference r:id="rId5" w:type="even"/>
          <w:pgSz w:w="11906" w:h="16838"/>
          <w:pgMar w:top="1440" w:right="1080" w:bottom="1440" w:left="1080" w:header="851" w:footer="567" w:gutter="0"/>
          <w:pgNumType w:fmt="numberInDash" w:start="1"/>
          <w:cols w:space="720" w:num="1"/>
          <w:docGrid w:type="lines" w:linePitch="312" w:charSpace="0"/>
        </w:sectPr>
      </w:pPr>
    </w:p>
    <w:p>
      <w:pPr>
        <w:jc w:val="center"/>
        <w:rPr>
          <w:rFonts w:ascii="黑体" w:hAnsi="黑体" w:eastAsia="黑体" w:cs="黑体"/>
          <w:sz w:val="44"/>
          <w:szCs w:val="40"/>
        </w:rPr>
      </w:pPr>
      <w:r>
        <w:rPr>
          <w:rFonts w:hint="eastAsia" w:ascii="黑体" w:hAnsi="黑体" w:eastAsia="黑体" w:cs="黑体"/>
          <w:sz w:val="44"/>
          <w:szCs w:val="40"/>
        </w:rPr>
        <w:t>目录</w:t>
      </w:r>
    </w:p>
    <w:p>
      <w:pPr>
        <w:pStyle w:val="6"/>
      </w:pPr>
    </w:p>
    <w:p>
      <w:pPr>
        <w:pStyle w:val="13"/>
        <w:tabs>
          <w:tab w:val="right" w:leader="dot" w:pos="9071"/>
          <w:tab w:val="clear" w:pos="8729"/>
        </w:tabs>
      </w:pPr>
      <w:r>
        <w:rPr>
          <w:rFonts w:hint="eastAsia"/>
          <w:bCs/>
          <w:sz w:val="24"/>
        </w:rPr>
        <w:fldChar w:fldCharType="begin"/>
      </w:r>
      <w:r>
        <w:rPr>
          <w:rFonts w:hint="eastAsia"/>
          <w:bCs/>
          <w:sz w:val="24"/>
        </w:rPr>
        <w:instrText xml:space="preserve">TOC \o "1-2" \h \u </w:instrText>
      </w:r>
      <w:r>
        <w:rPr>
          <w:rFonts w:hint="eastAsia"/>
          <w:bCs/>
          <w:sz w:val="24"/>
        </w:rPr>
        <w:fldChar w:fldCharType="separate"/>
      </w:r>
      <w:r>
        <w:fldChar w:fldCharType="begin"/>
      </w:r>
      <w:r>
        <w:instrText xml:space="preserve"> HYPERLINK \l "_Toc10402" </w:instrText>
      </w:r>
      <w:r>
        <w:fldChar w:fldCharType="separate"/>
      </w:r>
      <w:r>
        <w:rPr>
          <w:rFonts w:hint="eastAsia" w:ascii="黑体" w:eastAsia="黑体"/>
          <w:bCs/>
          <w:szCs w:val="36"/>
        </w:rPr>
        <w:t>第一章  招标公告</w:t>
      </w:r>
      <w:r>
        <w:tab/>
      </w:r>
      <w:r>
        <w:fldChar w:fldCharType="begin"/>
      </w:r>
      <w:r>
        <w:instrText xml:space="preserve"> PAGEREF _Toc10402 \h </w:instrText>
      </w:r>
      <w:r>
        <w:fldChar w:fldCharType="separate"/>
      </w:r>
      <w:r>
        <w:t>3</w:t>
      </w:r>
      <w:r>
        <w:fldChar w:fldCharType="end"/>
      </w:r>
      <w:r>
        <w:fldChar w:fldCharType="end"/>
      </w:r>
    </w:p>
    <w:p>
      <w:pPr>
        <w:pStyle w:val="13"/>
        <w:tabs>
          <w:tab w:val="right" w:leader="dot" w:pos="9071"/>
          <w:tab w:val="clear" w:pos="8729"/>
        </w:tabs>
      </w:pPr>
      <w:r>
        <w:fldChar w:fldCharType="begin"/>
      </w:r>
      <w:r>
        <w:instrText xml:space="preserve"> HYPERLINK \l "_Toc27653" </w:instrText>
      </w:r>
      <w:r>
        <w:fldChar w:fldCharType="separate"/>
      </w:r>
      <w:r>
        <w:rPr>
          <w:rFonts w:hint="eastAsia" w:ascii="黑体" w:eastAsia="黑体"/>
          <w:bCs/>
          <w:szCs w:val="36"/>
        </w:rPr>
        <w:t>第二章  投标文件编制</w:t>
      </w:r>
      <w:r>
        <w:tab/>
      </w:r>
      <w:r>
        <w:fldChar w:fldCharType="begin"/>
      </w:r>
      <w:r>
        <w:instrText xml:space="preserve"> PAGEREF _Toc27653 \h </w:instrText>
      </w:r>
      <w:r>
        <w:fldChar w:fldCharType="separate"/>
      </w:r>
      <w:r>
        <w:t>11</w:t>
      </w:r>
      <w:r>
        <w:fldChar w:fldCharType="end"/>
      </w:r>
      <w:r>
        <w:fldChar w:fldCharType="end"/>
      </w:r>
    </w:p>
    <w:p>
      <w:pPr>
        <w:pStyle w:val="13"/>
        <w:tabs>
          <w:tab w:val="right" w:leader="dot" w:pos="9071"/>
          <w:tab w:val="clear" w:pos="8729"/>
        </w:tabs>
      </w:pPr>
      <w:r>
        <w:fldChar w:fldCharType="begin"/>
      </w:r>
      <w:r>
        <w:instrText xml:space="preserve"> HYPERLINK \l "_Toc31400" </w:instrText>
      </w:r>
      <w:r>
        <w:fldChar w:fldCharType="separate"/>
      </w:r>
      <w:r>
        <w:rPr>
          <w:rFonts w:hint="eastAsia" w:ascii="黑体" w:hAnsi="Courier New" w:eastAsia="黑体"/>
          <w:bCs/>
          <w:szCs w:val="36"/>
        </w:rPr>
        <w:t>第三章  技术协议书</w:t>
      </w:r>
      <w:r>
        <w:tab/>
      </w:r>
      <w:r>
        <w:fldChar w:fldCharType="begin"/>
      </w:r>
      <w:r>
        <w:instrText xml:space="preserve"> PAGEREF _Toc31400 \h </w:instrText>
      </w:r>
      <w:r>
        <w:fldChar w:fldCharType="separate"/>
      </w:r>
      <w:r>
        <w:t>21</w:t>
      </w:r>
      <w:r>
        <w:fldChar w:fldCharType="end"/>
      </w:r>
      <w:r>
        <w:fldChar w:fldCharType="end"/>
      </w:r>
    </w:p>
    <w:p>
      <w:pPr>
        <w:pStyle w:val="13"/>
        <w:tabs>
          <w:tab w:val="right" w:leader="dot" w:pos="9071"/>
          <w:tab w:val="clear" w:pos="8729"/>
        </w:tabs>
      </w:pPr>
      <w:r>
        <w:fldChar w:fldCharType="begin"/>
      </w:r>
      <w:r>
        <w:instrText xml:space="preserve"> HYPERLINK \l "_Toc10436" </w:instrText>
      </w:r>
      <w:r>
        <w:fldChar w:fldCharType="separate"/>
      </w:r>
      <w:r>
        <w:rPr>
          <w:rFonts w:hint="eastAsia" w:ascii="黑体" w:hAnsi="Courier New" w:eastAsia="黑体"/>
          <w:bCs/>
          <w:szCs w:val="36"/>
        </w:rPr>
        <w:t>第四章  采购合同</w:t>
      </w:r>
      <w:r>
        <w:rPr>
          <w:rFonts w:hint="eastAsia" w:ascii="黑体" w:eastAsia="黑体"/>
        </w:rPr>
        <w:t>（以最终签署版本为准）</w:t>
      </w:r>
      <w:r>
        <w:tab/>
      </w:r>
      <w:r>
        <w:fldChar w:fldCharType="begin"/>
      </w:r>
      <w:r>
        <w:instrText xml:space="preserve"> PAGEREF _Toc10436 \h </w:instrText>
      </w:r>
      <w:r>
        <w:fldChar w:fldCharType="separate"/>
      </w:r>
      <w:r>
        <w:t>26</w:t>
      </w:r>
      <w:r>
        <w:fldChar w:fldCharType="end"/>
      </w:r>
      <w:r>
        <w:fldChar w:fldCharType="end"/>
      </w:r>
    </w:p>
    <w:p>
      <w:pPr>
        <w:tabs>
          <w:tab w:val="left" w:pos="3240"/>
        </w:tabs>
        <w:spacing w:line="480" w:lineRule="auto"/>
      </w:pPr>
      <w:r>
        <w:rPr>
          <w:rFonts w:hint="eastAsia" w:ascii="宋体" w:hAnsi="宋体"/>
          <w:bCs/>
        </w:rPr>
        <w:fldChar w:fldCharType="end"/>
      </w:r>
    </w:p>
    <w:p>
      <w:pPr>
        <w:pStyle w:val="8"/>
      </w:pPr>
      <w:r>
        <w:rPr>
          <w:rFonts w:hint="eastAsia"/>
        </w:rPr>
        <w:br w:type="page"/>
      </w:r>
    </w:p>
    <w:p>
      <w:pPr>
        <w:pStyle w:val="8"/>
      </w:pPr>
      <w:bookmarkStart w:id="0" w:name="_Toc10402"/>
      <w:r>
        <w:rPr>
          <w:rFonts w:hint="eastAsia"/>
        </w:rPr>
        <w:t>第一章  招标公告</w:t>
      </w:r>
      <w:bookmarkEnd w:id="0"/>
    </w:p>
    <w:p>
      <w:pPr>
        <w:pStyle w:val="8"/>
      </w:pPr>
      <w:r>
        <w:rPr>
          <w:rFonts w:hint="eastAsia"/>
        </w:rPr>
        <w:t>一、项目名称</w:t>
      </w:r>
    </w:p>
    <w:p>
      <w:pPr>
        <w:pStyle w:val="8"/>
      </w:pPr>
      <w:r>
        <w:rPr>
          <w:rFonts w:hint="eastAsia"/>
        </w:rPr>
        <w:t>项目名称：</w:t>
      </w:r>
      <w:bookmarkStart w:id="1" w:name="OLE_LINK1"/>
      <w:r>
        <w:rPr>
          <w:rFonts w:hint="eastAsia"/>
        </w:rPr>
        <w:t>AGV自动换刀技术研究项目</w:t>
      </w:r>
    </w:p>
    <w:bookmarkEnd w:id="1"/>
    <w:p>
      <w:pPr>
        <w:pStyle w:val="8"/>
      </w:pPr>
      <w:r>
        <w:rPr>
          <w:rFonts w:hint="eastAsia"/>
        </w:rPr>
        <w:t>二、招标内容</w:t>
      </w:r>
    </w:p>
    <w:p>
      <w:pPr>
        <w:pStyle w:val="8"/>
        <w:rPr>
          <w:rFonts w:ascii="黑体" w:eastAsia="黑体"/>
          <w:sz w:val="28"/>
        </w:rPr>
      </w:pPr>
      <w:r>
        <w:rPr>
          <w:rFonts w:hint="eastAsia"/>
        </w:rPr>
        <w:t>1.招标内容详见下表：</w:t>
      </w:r>
    </w:p>
    <w:tbl>
      <w:tblPr>
        <w:tblStyle w:val="17"/>
        <w:tblW w:w="9100" w:type="dxa"/>
        <w:tblInd w:w="0" w:type="dxa"/>
        <w:tblLayout w:type="fixed"/>
        <w:tblCellMar>
          <w:top w:w="15" w:type="dxa"/>
          <w:left w:w="15" w:type="dxa"/>
          <w:bottom w:w="15" w:type="dxa"/>
          <w:right w:w="15" w:type="dxa"/>
        </w:tblCellMar>
      </w:tblPr>
      <w:tblGrid>
        <w:gridCol w:w="613"/>
        <w:gridCol w:w="2208"/>
        <w:gridCol w:w="705"/>
        <w:gridCol w:w="746"/>
        <w:gridCol w:w="872"/>
        <w:gridCol w:w="2731"/>
        <w:gridCol w:w="1225"/>
      </w:tblGrid>
      <w:tr>
        <w:trPr>
          <w:trHeight w:val="508" w:hRule="atLeast"/>
        </w:trPr>
        <w:tc>
          <w:tcPr>
            <w:tcW w:w="6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型号</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2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安装地点/服务对象</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15" w:type="dxa"/>
            <w:left w:w="15" w:type="dxa"/>
            <w:bottom w:w="15" w:type="dxa"/>
            <w:right w:w="15" w:type="dxa"/>
          </w:tblCellMar>
        </w:tblPrEx>
        <w:trPr>
          <w:trHeight w:val="567" w:hRule="atLeast"/>
        </w:trPr>
        <w:tc>
          <w:tcPr>
            <w:tcW w:w="6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208" w:type="dxa"/>
            <w:tcBorders>
              <w:top w:val="single" w:color="auto"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Cs w:val="21"/>
                <w:highlight w:val="yellow"/>
                <w:lang w:val="en-US" w:eastAsia="zh-CN"/>
              </w:rPr>
            </w:pPr>
            <w:r>
              <w:rPr>
                <w:rFonts w:hint="eastAsia"/>
              </w:rPr>
              <w:t>AGV自动换刀</w:t>
            </w:r>
            <w:r>
              <w:rPr>
                <w:rFonts w:hint="eastAsia"/>
                <w:lang w:val="en-US" w:eastAsia="zh-CN"/>
              </w:rPr>
              <w:t>系统</w:t>
            </w:r>
          </w:p>
        </w:tc>
        <w:tc>
          <w:tcPr>
            <w:tcW w:w="705"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w:t>
            </w:r>
          </w:p>
        </w:tc>
        <w:tc>
          <w:tcPr>
            <w:tcW w:w="746"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2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中国重汽集团济南动力有限公司济南发动机厂</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p>
        </w:tc>
      </w:tr>
    </w:tbl>
    <w:p>
      <w:pPr>
        <w:pStyle w:val="8"/>
      </w:pPr>
      <w:r>
        <w:rPr>
          <w:rFonts w:hint="eastAsia"/>
        </w:rPr>
        <w:t>2.分投分中：</w:t>
      </w:r>
      <w:r>
        <w:rPr>
          <w:rFonts w:hint="eastAsia"/>
          <w:b/>
          <w:bCs/>
        </w:rPr>
        <w:t>不允许</w:t>
      </w:r>
      <w:r>
        <w:rPr>
          <w:rFonts w:hint="eastAsia"/>
        </w:rPr>
        <w:t>。</w:t>
      </w:r>
    </w:p>
    <w:p>
      <w:pPr>
        <w:pStyle w:val="8"/>
      </w:pPr>
      <w:r>
        <w:rPr>
          <w:rFonts w:hint="eastAsia"/>
        </w:rPr>
        <w:t>3.供货时间：</w:t>
      </w:r>
    </w:p>
    <w:p>
      <w:pPr>
        <w:pStyle w:val="8"/>
      </w:pPr>
      <w:r>
        <w:rPr>
          <w:rFonts w:hint="eastAsia"/>
        </w:rPr>
        <w:t>⑴投标方应自中标通知书发出之日起，要求</w:t>
      </w:r>
      <w:r>
        <w:rPr>
          <w:rFonts w:hint="eastAsia"/>
          <w:u w:val="single"/>
        </w:rPr>
        <w:t xml:space="preserve"> </w:t>
      </w:r>
      <w:r>
        <w:rPr>
          <w:rFonts w:hint="eastAsia"/>
          <w:u w:val="single"/>
          <w:lang w:val="en-US" w:eastAsia="zh-CN"/>
        </w:rPr>
        <w:t>60</w:t>
      </w:r>
      <w:r>
        <w:rPr>
          <w:rFonts w:hint="eastAsia"/>
          <w:u w:val="single"/>
        </w:rPr>
        <w:t xml:space="preserve"> </w:t>
      </w:r>
      <w:r>
        <w:rPr>
          <w:rFonts w:hint="eastAsia"/>
        </w:rPr>
        <w:t>个日历日之内交货至招标方使用地点；</w:t>
      </w:r>
    </w:p>
    <w:p>
      <w:pPr>
        <w:pStyle w:val="8"/>
      </w:pPr>
      <w:r>
        <w:rPr>
          <w:rFonts w:hint="eastAsia"/>
        </w:rPr>
        <w:t>⑵接续</w:t>
      </w:r>
      <w:r>
        <w:rPr>
          <w:rFonts w:hint="eastAsia"/>
          <w:u w:val="single"/>
        </w:rPr>
        <w:t xml:space="preserve"> </w:t>
      </w:r>
      <w:r>
        <w:rPr>
          <w:rFonts w:hint="eastAsia"/>
          <w:u w:val="single"/>
          <w:lang w:val="en-US" w:eastAsia="zh-CN"/>
        </w:rPr>
        <w:t>45</w:t>
      </w:r>
      <w:r>
        <w:rPr>
          <w:rFonts w:hint="eastAsia"/>
          <w:u w:val="single"/>
        </w:rPr>
        <w:t xml:space="preserve"> </w:t>
      </w:r>
      <w:r>
        <w:rPr>
          <w:rFonts w:hint="eastAsia"/>
        </w:rPr>
        <w:t>个日历日之内安装调试完毕；</w:t>
      </w:r>
    </w:p>
    <w:p>
      <w:pPr>
        <w:pStyle w:val="8"/>
      </w:pPr>
      <w:r>
        <w:rPr>
          <w:rFonts w:hint="eastAsia"/>
        </w:rPr>
        <w:t>三、招标形式</w:t>
      </w:r>
    </w:p>
    <w:p>
      <w:pPr>
        <w:pStyle w:val="8"/>
      </w:pPr>
      <w:r>
        <w:rPr>
          <w:rFonts w:hint="eastAsia"/>
        </w:rPr>
        <w:t>招标形式：公开招标。</w:t>
      </w:r>
    </w:p>
    <w:p>
      <w:pPr>
        <w:pStyle w:val="8"/>
      </w:pPr>
      <w:r>
        <w:rPr>
          <w:rFonts w:hint="eastAsia"/>
        </w:rPr>
        <w:t>四、议程安排</w:t>
      </w:r>
    </w:p>
    <w:p>
      <w:pPr>
        <w:pStyle w:val="8"/>
      </w:pPr>
      <w:r>
        <w:rPr>
          <w:rFonts w:hint="eastAsia"/>
        </w:rPr>
        <w:t>1.公告时间：202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p>
    <w:p>
      <w:pPr>
        <w:pStyle w:val="8"/>
      </w:pPr>
      <w:r>
        <w:rPr>
          <w:rFonts w:hint="eastAsia"/>
        </w:rPr>
        <w:t>2.报名截止时间：202</w:t>
      </w:r>
      <w:r>
        <w:rPr>
          <w:rFonts w:hint="eastAsia"/>
          <w:lang w:val="en-US" w:eastAsia="zh-CN"/>
        </w:rPr>
        <w:t>5</w:t>
      </w:r>
      <w:r>
        <w:rPr>
          <w:rFonts w:hint="eastAsia"/>
        </w:rPr>
        <w:t xml:space="preserve">年 </w:t>
      </w:r>
      <w:r>
        <w:rPr>
          <w:rFonts w:hint="eastAsia"/>
          <w:lang w:val="en-US" w:eastAsia="zh-CN"/>
        </w:rPr>
        <w:t>4</w:t>
      </w:r>
      <w:r>
        <w:rPr>
          <w:rFonts w:hint="eastAsia"/>
        </w:rPr>
        <w:t>月</w:t>
      </w:r>
      <w:r>
        <w:rPr>
          <w:rFonts w:hint="eastAsia"/>
          <w:lang w:val="en-US" w:eastAsia="zh-CN"/>
        </w:rPr>
        <w:t>14</w:t>
      </w:r>
      <w:r>
        <w:rPr>
          <w:rFonts w:hint="eastAsia"/>
        </w:rPr>
        <w:t>日前（书面、传真形式）。</w:t>
      </w:r>
    </w:p>
    <w:p>
      <w:pPr>
        <w:pStyle w:val="8"/>
      </w:pPr>
      <w:r>
        <w:rPr>
          <w:rFonts w:hint="eastAsia"/>
        </w:rPr>
        <w:t>3.答疑时间：截止至202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日前。</w:t>
      </w:r>
    </w:p>
    <w:p>
      <w:pPr>
        <w:pStyle w:val="8"/>
      </w:pPr>
      <w:r>
        <w:rPr>
          <w:rFonts w:hint="eastAsia"/>
        </w:rPr>
        <w:t>答疑方式：书面（或电话）答疑。</w:t>
      </w:r>
    </w:p>
    <w:p>
      <w:pPr>
        <w:pStyle w:val="8"/>
        <w:rPr>
          <w:rFonts w:hint="eastAsia" w:eastAsia="宋体"/>
          <w:lang w:eastAsia="zh-CN"/>
        </w:rPr>
      </w:pPr>
      <w:r>
        <w:rPr>
          <w:rFonts w:hint="eastAsia"/>
        </w:rPr>
        <w:t>答疑联系人：</w:t>
      </w:r>
      <w:r>
        <w:rPr>
          <w:rFonts w:hint="eastAsia"/>
          <w:lang w:val="en-US" w:eastAsia="zh-CN"/>
        </w:rPr>
        <w:t>宋文涛</w:t>
      </w:r>
    </w:p>
    <w:p>
      <w:pPr>
        <w:pStyle w:val="8"/>
        <w:rPr>
          <w:rFonts w:hint="default" w:eastAsia="宋体"/>
          <w:lang w:val="en-US" w:eastAsia="zh-CN"/>
        </w:rPr>
      </w:pPr>
      <w:r>
        <w:rPr>
          <w:rFonts w:hint="eastAsia"/>
        </w:rPr>
        <w:t>答疑联系电话：</w:t>
      </w:r>
      <w:r>
        <w:rPr>
          <w:rFonts w:hint="eastAsia"/>
          <w:lang w:val="en-US" w:eastAsia="zh-CN"/>
        </w:rPr>
        <w:t>13553157226</w:t>
      </w:r>
    </w:p>
    <w:p>
      <w:pPr>
        <w:pStyle w:val="8"/>
        <w:rPr>
          <w:rFonts w:hint="default" w:eastAsia="宋体"/>
          <w:lang w:val="en-US" w:eastAsia="zh-CN"/>
        </w:rPr>
      </w:pPr>
      <w:r>
        <w:rPr>
          <w:rFonts w:hint="eastAsia"/>
        </w:rPr>
        <w:t>电子邮箱：</w:t>
      </w:r>
      <w:r>
        <w:rPr>
          <w:rFonts w:hint="eastAsia"/>
          <w:lang w:val="en-US" w:eastAsia="zh-CN"/>
        </w:rPr>
        <w:t>songwentao@sinotruk</w:t>
      </w:r>
    </w:p>
    <w:p>
      <w:pPr>
        <w:pStyle w:val="8"/>
      </w:pPr>
      <w:r>
        <w:rPr>
          <w:rFonts w:hint="eastAsia"/>
        </w:rPr>
        <w:t>4.开标时间：202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21</w:t>
      </w:r>
      <w:r>
        <w:rPr>
          <w:rFonts w:hint="eastAsia"/>
        </w:rPr>
        <w:t>日（若有变动另行通知）。</w:t>
      </w:r>
    </w:p>
    <w:p>
      <w:pPr>
        <w:pStyle w:val="8"/>
      </w:pPr>
      <w:r>
        <w:rPr>
          <w:rFonts w:hint="eastAsia"/>
        </w:rPr>
        <w:t>5.投标地点：济南发动机厂。</w:t>
      </w:r>
    </w:p>
    <w:p>
      <w:pPr>
        <w:pStyle w:val="8"/>
        <w:rPr>
          <w:szCs w:val="22"/>
        </w:rPr>
      </w:pPr>
      <w:r>
        <w:rPr>
          <w:rFonts w:hint="eastAsia"/>
        </w:rPr>
        <w:t>6.报名及商务事宜联系人：崔毅刚</w:t>
      </w:r>
      <w:r>
        <w:rPr>
          <w:rFonts w:hint="eastAsia"/>
          <w:szCs w:val="22"/>
        </w:rPr>
        <w:t xml:space="preserve"> </w:t>
      </w:r>
      <w:r>
        <w:rPr>
          <w:rFonts w:hint="eastAsia"/>
        </w:rPr>
        <w:t>15863137802</w:t>
      </w:r>
    </w:p>
    <w:p>
      <w:pPr>
        <w:pStyle w:val="8"/>
      </w:pPr>
      <w:r>
        <w:rPr>
          <w:rFonts w:hint="eastAsia"/>
        </w:rPr>
        <w:t>五、获取招标文件</w:t>
      </w:r>
    </w:p>
    <w:p>
      <w:pPr>
        <w:pStyle w:val="8"/>
      </w:pPr>
      <w:r>
        <w:rPr>
          <w:rFonts w:hint="eastAsia"/>
        </w:rPr>
        <w:t>1.时间：202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14</w:t>
      </w:r>
      <w:bookmarkStart w:id="10" w:name="_GoBack"/>
      <w:bookmarkEnd w:id="10"/>
      <w:r>
        <w:rPr>
          <w:rFonts w:hint="eastAsia"/>
        </w:rPr>
        <w:t>日前。</w:t>
      </w:r>
    </w:p>
    <w:p>
      <w:pPr>
        <w:pStyle w:val="8"/>
      </w:pPr>
      <w:r>
        <w:rPr>
          <w:rFonts w:hint="eastAsia"/>
        </w:rPr>
        <w:t>2.方式：在上述时间范围内，投标人通过</w:t>
      </w:r>
      <w:r>
        <w:rPr>
          <w:rFonts w:hint="eastAsia"/>
          <w:b/>
          <w:bCs/>
        </w:rPr>
        <w:t>重汽e采通系统（网址：https://ecaitong.sinotruk.com:8012/#/login）</w:t>
      </w:r>
      <w:r>
        <w:rPr>
          <w:rFonts w:hint="eastAsia"/>
        </w:rPr>
        <w:t>应标成功即可获取招标文件，招标人也会将本项目招标书电子版，以电子邮件的形式发送至应标成功的投标人所提供的邮箱，招标人不对投标人能否通过电子邮箱正确或及时接收相关邮件负责，招标人邮件发出即视为送达。</w:t>
      </w:r>
    </w:p>
    <w:p>
      <w:pPr>
        <w:pStyle w:val="8"/>
      </w:pPr>
      <w:r>
        <w:rPr>
          <w:rFonts w:hint="eastAsia"/>
        </w:rPr>
        <w:t>六、投标须知</w:t>
      </w:r>
    </w:p>
    <w:p>
      <w:pPr>
        <w:pStyle w:val="8"/>
      </w:pPr>
      <w:r>
        <w:rPr>
          <w:rFonts w:hint="eastAsia"/>
        </w:rPr>
        <w:t>1.合格投标人：</w:t>
      </w:r>
    </w:p>
    <w:p>
      <w:pPr>
        <w:pStyle w:val="8"/>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8"/>
      </w:pPr>
      <w:r>
        <w:rPr>
          <w:rFonts w:hint="eastAsia" w:hAnsi="宋体"/>
        </w:rPr>
        <w:t>*⑵</w:t>
      </w:r>
      <w:r>
        <w:rPr>
          <w:rFonts w:hint="eastAsia"/>
        </w:rPr>
        <w:t>公司成立三年以上（以营业执照成立日期到开标当日满三年为准）；注册资金不少于200万元</w:t>
      </w:r>
      <w:r>
        <w:rPr>
          <w:rFonts w:hint="eastAsia" w:hAnsi="宋体"/>
          <w:sz w:val="24"/>
        </w:rPr>
        <w:t>；</w:t>
      </w:r>
      <w:r>
        <w:rPr>
          <w:rFonts w:hint="eastAsia"/>
        </w:rPr>
        <w:t>经营范围满足招标项目需求；</w:t>
      </w:r>
    </w:p>
    <w:p>
      <w:pPr>
        <w:pStyle w:val="8"/>
      </w:pPr>
      <w:r>
        <w:rPr>
          <w:rFonts w:hint="eastAsia" w:hAnsi="宋体"/>
        </w:rPr>
        <w:t>*</w:t>
      </w:r>
      <w:r>
        <w:rPr>
          <w:rFonts w:hint="eastAsia"/>
        </w:rPr>
        <w:t>⑶投标人须提供具有统一社会信用代码的新版营业执照副本原件或复印件（加盖公章）；</w:t>
      </w:r>
    </w:p>
    <w:p>
      <w:pPr>
        <w:pStyle w:val="8"/>
      </w:pPr>
      <w:r>
        <w:rPr>
          <w:rFonts w:hint="eastAsia"/>
        </w:rPr>
        <w:t>⑷具有良好的商业信誉，在国家企业信用信息公示系统中无行政处罚、列入经营异常名录和列入严重违法失信企业名单（黑名单）信息，如有上述信息且已被移除可正常参标。</w:t>
      </w:r>
    </w:p>
    <w:p>
      <w:pPr>
        <w:pStyle w:val="8"/>
      </w:pPr>
      <w:r>
        <w:rPr>
          <w:rFonts w:hint="eastAsia" w:hAnsi="宋体"/>
        </w:rPr>
        <w:t>⑸</w:t>
      </w:r>
      <w:r>
        <w:rPr>
          <w:rFonts w:hint="eastAsia"/>
        </w:rPr>
        <w:t>投标人在近两年内在经营活动中无违法记录。</w:t>
      </w:r>
    </w:p>
    <w:p>
      <w:pPr>
        <w:pStyle w:val="8"/>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pPr>
        <w:pStyle w:val="8"/>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spacing w:line="360" w:lineRule="auto"/>
        <w:ind w:firstLine="282" w:firstLineChars="134"/>
        <w:rPr>
          <w:rFonts w:ascii="宋体" w:hAnsi="Courier New"/>
          <w:b/>
          <w:bCs/>
        </w:rPr>
      </w:pPr>
      <w:r>
        <w:rPr>
          <w:rFonts w:hint="eastAsia" w:ascii="宋体" w:hAnsi="宋体"/>
          <w:b/>
          <w:bCs/>
        </w:rPr>
        <w:t>*⑻</w:t>
      </w:r>
      <w:r>
        <w:rPr>
          <w:rFonts w:hint="eastAsia" w:ascii="宋体" w:hAnsi="Courier New"/>
          <w:b/>
          <w:bCs/>
        </w:rPr>
        <w:t>投标人须提供近三年经审计的财务报告。</w:t>
      </w:r>
    </w:p>
    <w:p>
      <w:pPr>
        <w:spacing w:line="360" w:lineRule="auto"/>
        <w:ind w:firstLine="282" w:firstLineChars="134"/>
        <w:rPr>
          <w:rFonts w:ascii="宋体" w:hAnsi="Courier New"/>
          <w:b/>
          <w:bCs/>
        </w:rPr>
      </w:pPr>
      <w:r>
        <w:rPr>
          <w:rFonts w:hint="eastAsia" w:ascii="宋体" w:hAnsi="宋体"/>
          <w:b/>
          <w:bCs/>
        </w:rPr>
        <w:t>*⑼</w:t>
      </w:r>
      <w:r>
        <w:rPr>
          <w:rFonts w:hint="eastAsia" w:ascii="宋体" w:hAnsi="Courier New"/>
          <w:b/>
          <w:bCs/>
        </w:rPr>
        <w:t>投标人须提供法人授权委托书（在投标文件副本中可用复印件）及投标单位的法定代表人或授权代表的身份证原件或复印件（加盖公章）；</w:t>
      </w:r>
    </w:p>
    <w:p>
      <w:pPr>
        <w:pStyle w:val="8"/>
      </w:pPr>
      <w:r>
        <w:rPr>
          <w:rFonts w:hint="eastAsia" w:hAnsi="宋体"/>
        </w:rPr>
        <w:t>⑽</w:t>
      </w:r>
      <w:r>
        <w:rPr>
          <w:rFonts w:hint="eastAsia"/>
        </w:rPr>
        <w:t>投标人须具有履行合同所必须的设备、财务、技术、服务等方面的资质和能力；</w:t>
      </w:r>
    </w:p>
    <w:p>
      <w:pPr>
        <w:pStyle w:val="8"/>
      </w:pPr>
      <w:r>
        <w:rPr>
          <w:rFonts w:hint="eastAsia" w:hAnsi="宋体"/>
        </w:rPr>
        <w:t>⑾</w:t>
      </w:r>
      <w:r>
        <w:rPr>
          <w:rFonts w:hint="eastAsia"/>
        </w:rPr>
        <w:t>投标人须具有完全履行招标文件的所有要求的能力；</w:t>
      </w:r>
    </w:p>
    <w:p>
      <w:pPr>
        <w:pStyle w:val="8"/>
      </w:pPr>
      <w:r>
        <w:rPr>
          <w:rFonts w:hint="eastAsia" w:hAnsi="宋体"/>
        </w:rPr>
        <w:t>⑿</w:t>
      </w:r>
      <w:r>
        <w:rPr>
          <w:rFonts w:hint="eastAsia"/>
        </w:rPr>
        <w:t>投标人须负责提供合理的便于运输的包装物，并承担相关费用；</w:t>
      </w:r>
    </w:p>
    <w:p>
      <w:pPr>
        <w:pStyle w:val="8"/>
      </w:pPr>
      <w:r>
        <w:rPr>
          <w:rFonts w:hint="eastAsia" w:hAnsi="宋体"/>
        </w:rPr>
        <w:t>⒀</w:t>
      </w:r>
      <w:r>
        <w:rPr>
          <w:rFonts w:hint="eastAsia"/>
        </w:rPr>
        <w:t>投标人须认可招标人的工作指令，包括节、假日能正常开展工作的要求；</w:t>
      </w:r>
    </w:p>
    <w:p>
      <w:pPr>
        <w:pStyle w:val="8"/>
      </w:pPr>
      <w:r>
        <w:rPr>
          <w:rFonts w:hint="eastAsia" w:hAnsi="宋体"/>
        </w:rPr>
        <w:t>⒁</w:t>
      </w:r>
      <w:r>
        <w:rPr>
          <w:rFonts w:hint="eastAsia"/>
        </w:rPr>
        <w:t>投标人必须是最终投标、签订合同的单位，不得以任何理由将已中标项目以任何形式转包给其他单位；</w:t>
      </w:r>
    </w:p>
    <w:p>
      <w:pPr>
        <w:pStyle w:val="8"/>
      </w:pPr>
      <w:r>
        <w:rPr>
          <w:rFonts w:hint="eastAsia" w:hAnsi="宋体"/>
        </w:rPr>
        <w:t>⒂</w:t>
      </w:r>
      <w:r>
        <w:rPr>
          <w:rFonts w:hint="eastAsia"/>
        </w:rPr>
        <w:t>本次招标项目不接受联合体投标；</w:t>
      </w:r>
    </w:p>
    <w:p>
      <w:pPr>
        <w:pStyle w:val="8"/>
      </w:pPr>
      <w:r>
        <w:rPr>
          <w:rFonts w:hint="eastAsia" w:hAnsi="宋体"/>
        </w:rPr>
        <w:t>⒃</w:t>
      </w:r>
      <w:r>
        <w:rPr>
          <w:rFonts w:hint="eastAsia"/>
        </w:rPr>
        <w:t>其他须具备的资格要求：</w:t>
      </w:r>
      <w:r>
        <w:t>营业范围</w:t>
      </w:r>
      <w:r>
        <w:rPr>
          <w:rFonts w:hint="eastAsia"/>
        </w:rPr>
        <w:t>加工制造资质；</w:t>
      </w:r>
    </w:p>
    <w:p>
      <w:pPr>
        <w:spacing w:line="360" w:lineRule="auto"/>
        <w:ind w:firstLine="282" w:firstLineChars="134"/>
        <w:rPr>
          <w:rFonts w:ascii="宋体" w:hAnsi="宋体"/>
          <w:b/>
          <w:bCs/>
        </w:rPr>
      </w:pPr>
      <w:r>
        <w:rPr>
          <w:rFonts w:hint="eastAsia" w:ascii="宋体" w:hAnsi="宋体"/>
          <w:b/>
          <w:bCs/>
        </w:rPr>
        <w:t>*⒄投标人在向招标人出示《投标保证金缴纳凭证》后方可进行投标；</w:t>
      </w:r>
    </w:p>
    <w:p>
      <w:pPr>
        <w:pStyle w:val="8"/>
      </w:pPr>
      <w:r>
        <w:rPr>
          <w:rFonts w:hint="eastAsia"/>
        </w:rPr>
        <w:t>注：上述带“</w:t>
      </w:r>
      <w:r>
        <w:rPr>
          <w:rFonts w:hint="eastAsia" w:hAnsi="宋体"/>
        </w:rPr>
        <w:t>*</w:t>
      </w:r>
      <w:r>
        <w:rPr>
          <w:rFonts w:hint="eastAsia"/>
        </w:rPr>
        <w:t>”项为必备的资格文件，在开标前核验（由投标人单独提供），缺一项按废标处理，其余文件开标后核验。逾期的投标文件招标人不予受理。</w:t>
      </w:r>
    </w:p>
    <w:p>
      <w:pPr>
        <w:pStyle w:val="8"/>
      </w:pPr>
      <w:r>
        <w:rPr>
          <w:rFonts w:hint="eastAsia"/>
        </w:rPr>
        <w:t>2.投标文件格式组成</w:t>
      </w:r>
    </w:p>
    <w:p>
      <w:pPr>
        <w:pStyle w:val="8"/>
      </w:pPr>
      <w:r>
        <w:rPr>
          <w:rFonts w:hint="eastAsia"/>
        </w:rPr>
        <w:t>2.1资质文件（独立封装在一个档案袋，一式两份，一正一副）：</w:t>
      </w:r>
    </w:p>
    <w:p>
      <w:pPr>
        <w:pStyle w:val="8"/>
      </w:pPr>
      <w:r>
        <w:rPr>
          <w:rFonts w:hint="eastAsia"/>
        </w:rPr>
        <w:t>2.1.1</w:t>
      </w:r>
      <w:r>
        <w:rPr>
          <w:rFonts w:hint="eastAsia"/>
        </w:rPr>
        <w:tab/>
      </w:r>
      <w:r>
        <w:rPr>
          <w:rFonts w:hint="eastAsia"/>
        </w:rPr>
        <w:t>法定代表人身份证明</w:t>
      </w:r>
    </w:p>
    <w:p>
      <w:pPr>
        <w:pStyle w:val="8"/>
      </w:pPr>
      <w:r>
        <w:rPr>
          <w:rFonts w:hint="eastAsia"/>
        </w:rPr>
        <w:t>2.1.2</w:t>
      </w:r>
      <w:r>
        <w:rPr>
          <w:rFonts w:hint="eastAsia"/>
        </w:rPr>
        <w:tab/>
      </w:r>
      <w:r>
        <w:rPr>
          <w:rFonts w:hint="eastAsia"/>
        </w:rPr>
        <w:t>法人授权委托书及身份证复印件；</w:t>
      </w:r>
    </w:p>
    <w:p>
      <w:pPr>
        <w:pStyle w:val="8"/>
      </w:pPr>
      <w:r>
        <w:rPr>
          <w:rFonts w:hint="eastAsia"/>
        </w:rPr>
        <w:t>2.1.3</w:t>
      </w:r>
      <w:r>
        <w:rPr>
          <w:rFonts w:hint="eastAsia"/>
        </w:rPr>
        <w:tab/>
      </w:r>
      <w:r>
        <w:rPr>
          <w:rFonts w:hint="eastAsia"/>
        </w:rPr>
        <w:t>营业执照副本复印件；</w:t>
      </w:r>
    </w:p>
    <w:p>
      <w:pPr>
        <w:pStyle w:val="8"/>
      </w:pPr>
      <w:r>
        <w:rPr>
          <w:rFonts w:hint="eastAsia"/>
        </w:rPr>
        <w:t>2.1.4</w:t>
      </w:r>
      <w:r>
        <w:rPr>
          <w:rFonts w:hint="eastAsia"/>
        </w:rPr>
        <w:tab/>
      </w:r>
      <w:r>
        <w:rPr>
          <w:rFonts w:hint="eastAsia"/>
        </w:rPr>
        <w:t>投标人应具有相应生产证明，若为代理商需具备厂家授权。</w:t>
      </w:r>
    </w:p>
    <w:p>
      <w:pPr>
        <w:pStyle w:val="8"/>
      </w:pPr>
      <w:r>
        <w:rPr>
          <w:rFonts w:hint="eastAsia"/>
        </w:rPr>
        <w:t>2.1.5</w:t>
      </w:r>
      <w:r>
        <w:rPr>
          <w:rFonts w:hint="eastAsia"/>
        </w:rPr>
        <w:tab/>
      </w:r>
      <w:r>
        <w:rPr>
          <w:rFonts w:hint="eastAsia"/>
        </w:rPr>
        <w:t>近三年经审计的财务报报告；</w:t>
      </w:r>
    </w:p>
    <w:p>
      <w:pPr>
        <w:pStyle w:val="8"/>
      </w:pPr>
      <w:r>
        <w:rPr>
          <w:rFonts w:hint="eastAsia"/>
        </w:rPr>
        <w:t>2.1.6</w:t>
      </w:r>
      <w:r>
        <w:rPr>
          <w:rFonts w:hint="eastAsia"/>
        </w:rPr>
        <w:tab/>
      </w:r>
      <w:r>
        <w:rPr>
          <w:rFonts w:hint="eastAsia"/>
        </w:rPr>
        <w:t>招标文件中要求的其它资格证明文件。</w:t>
      </w:r>
    </w:p>
    <w:p>
      <w:pPr>
        <w:pStyle w:val="8"/>
      </w:pPr>
      <w:r>
        <w:rPr>
          <w:rFonts w:hint="eastAsia"/>
        </w:rPr>
        <w:t>2.2商务技术标（独立封装在一个档案袋）：</w:t>
      </w:r>
    </w:p>
    <w:p>
      <w:pPr>
        <w:pStyle w:val="8"/>
      </w:pPr>
      <w:r>
        <w:rPr>
          <w:rFonts w:hint="eastAsia"/>
        </w:rPr>
        <w:t>2.2.1</w:t>
      </w:r>
      <w:r>
        <w:rPr>
          <w:rFonts w:hint="eastAsia"/>
        </w:rPr>
        <w:tab/>
      </w:r>
      <w:r>
        <w:rPr>
          <w:rFonts w:hint="eastAsia"/>
        </w:rPr>
        <w:t>投标函；</w:t>
      </w:r>
    </w:p>
    <w:p>
      <w:pPr>
        <w:pStyle w:val="8"/>
      </w:pPr>
      <w:r>
        <w:rPr>
          <w:rFonts w:hint="eastAsia"/>
        </w:rPr>
        <w:t>2.2.2</w:t>
      </w:r>
      <w:r>
        <w:rPr>
          <w:rFonts w:hint="eastAsia"/>
        </w:rPr>
        <w:tab/>
      </w:r>
      <w:r>
        <w:rPr>
          <w:rFonts w:hint="eastAsia"/>
        </w:rPr>
        <w:t>开标一览表；</w:t>
      </w:r>
    </w:p>
    <w:p>
      <w:pPr>
        <w:pStyle w:val="8"/>
      </w:pPr>
      <w:r>
        <w:rPr>
          <w:rFonts w:hint="eastAsia"/>
        </w:rPr>
        <w:t>2.2.3</w:t>
      </w:r>
      <w:r>
        <w:rPr>
          <w:rFonts w:hint="eastAsia"/>
        </w:rPr>
        <w:tab/>
      </w:r>
      <w:r>
        <w:rPr>
          <w:rFonts w:hint="eastAsia"/>
        </w:rPr>
        <w:t>投标货物分项报价表，含材料品牌及材料材质；</w:t>
      </w:r>
    </w:p>
    <w:p>
      <w:pPr>
        <w:pStyle w:val="8"/>
      </w:pPr>
      <w:r>
        <w:rPr>
          <w:rFonts w:hint="eastAsia"/>
        </w:rPr>
        <w:t>2.2.4</w:t>
      </w:r>
      <w:r>
        <w:rPr>
          <w:rFonts w:hint="eastAsia"/>
        </w:rPr>
        <w:tab/>
      </w:r>
      <w:r>
        <w:rPr>
          <w:rFonts w:hint="eastAsia"/>
        </w:rPr>
        <w:t>商务条款及技术符合性偏离表；详见本招标文件“第二章 投标文件编制”，请投标人按格式要求进行填写。</w:t>
      </w:r>
    </w:p>
    <w:p>
      <w:pPr>
        <w:pStyle w:val="8"/>
      </w:pPr>
      <w:r>
        <w:rPr>
          <w:rFonts w:hint="eastAsia"/>
        </w:rPr>
        <w:t>2.3开标一览表，单独封装。</w:t>
      </w:r>
    </w:p>
    <w:p>
      <w:pPr>
        <w:pStyle w:val="8"/>
      </w:pPr>
      <w:r>
        <w:rPr>
          <w:rFonts w:hint="eastAsia"/>
        </w:rPr>
        <w:t>2.4 所有投标文件需进行正规封装、胶装，不接受活页、散装等方式的投标文资料。所有投标文件均需提供电子版文件（不加密）统一存储在一个独立封装的U盘内（电子版要求详见第二章投标文件格式））。</w:t>
      </w:r>
    </w:p>
    <w:p>
      <w:pPr>
        <w:pStyle w:val="8"/>
      </w:pPr>
      <w:r>
        <w:rPr>
          <w:rFonts w:hint="eastAsia"/>
        </w:rPr>
        <w:t>3.报价：</w:t>
      </w:r>
    </w:p>
    <w:p>
      <w:pPr>
        <w:pStyle w:val="8"/>
      </w:pPr>
      <w:r>
        <w:rPr>
          <w:rFonts w:hint="eastAsia"/>
        </w:rPr>
        <w:t>⑴本次招标为公开招标，报价应为：投标方与招标人或其指派的答疑人员充分沟通确认基础上，由投标人在满足招标人所提出的、与本项目所有相关环节有关的所有费用；详见本招标书之“第二章 投标文件编制”之“三、投标文件格式要求”之“格式3”。</w:t>
      </w:r>
    </w:p>
    <w:p>
      <w:pPr>
        <w:spacing w:line="360" w:lineRule="auto"/>
        <w:ind w:firstLine="420" w:firstLineChars="200"/>
        <w:rPr>
          <w:rFonts w:ascii="宋体" w:hAnsi="Courier New"/>
        </w:rPr>
      </w:pPr>
      <w:r>
        <w:rPr>
          <w:rFonts w:hint="eastAsia" w:ascii="宋体" w:hAnsi="宋体"/>
        </w:rPr>
        <w:t>⑵</w:t>
      </w:r>
      <w:r>
        <w:rPr>
          <w:rFonts w:hint="eastAsia" w:ascii="宋体" w:hAnsi="Courier New"/>
        </w:rPr>
        <w:t xml:space="preserve">所有报价货币单位为： </w:t>
      </w:r>
      <w:r>
        <w:rPr>
          <w:rFonts w:ascii="宋体" w:hAnsi="Courier New"/>
        </w:rPr>
        <w:t xml:space="preserve">  </w:t>
      </w:r>
      <w:r>
        <w:rPr>
          <w:rFonts w:hint="eastAsia" w:ascii="宋体" w:hAnsi="Courier New"/>
        </w:rPr>
        <w:t>元（人民币，含税），</w:t>
      </w:r>
      <w:r>
        <w:rPr>
          <w:rFonts w:hint="eastAsia" w:ascii="宋体" w:hAnsi="Courier New"/>
          <w:b/>
          <w:bCs/>
        </w:rPr>
        <w:t>注明税率</w:t>
      </w:r>
      <w:r>
        <w:rPr>
          <w:rFonts w:hint="eastAsia" w:ascii="宋体" w:hAnsi="Courier New"/>
        </w:rPr>
        <w:t>；</w:t>
      </w:r>
    </w:p>
    <w:p>
      <w:pPr>
        <w:pStyle w:val="8"/>
      </w:pPr>
      <w:r>
        <w:rPr>
          <w:rFonts w:hint="eastAsia" w:hAnsi="宋体"/>
        </w:rPr>
        <w:t>⑶付款</w:t>
      </w:r>
      <w:r>
        <w:rPr>
          <w:rFonts w:hint="eastAsia"/>
        </w:rPr>
        <w:t>结算方式：</w:t>
      </w:r>
      <w:r>
        <w:rPr>
          <w:rFonts w:hint="eastAsia"/>
          <w:u w:val="single"/>
        </w:rPr>
        <w:t>半年期商业承兑汇票，</w:t>
      </w:r>
      <w:r>
        <w:rPr>
          <w:rFonts w:hint="eastAsia"/>
        </w:rPr>
        <w:t xml:space="preserve">预付款0%、验收款90%、质保金10%。 </w:t>
      </w:r>
    </w:p>
    <w:p>
      <w:pPr>
        <w:pStyle w:val="8"/>
      </w:pPr>
      <w:r>
        <w:rPr>
          <w:rFonts w:hint="eastAsia"/>
        </w:rPr>
        <w:t>4.技术规范及服务</w:t>
      </w:r>
    </w:p>
    <w:p>
      <w:pPr>
        <w:pStyle w:val="8"/>
      </w:pPr>
      <w:r>
        <w:rPr>
          <w:rFonts w:hint="eastAsia"/>
        </w:rPr>
        <w:t>⑴投标人应与招标人指派的答疑人员充分沟通，理解认可并接受相关技术规范及服务要求。</w:t>
      </w:r>
    </w:p>
    <w:p>
      <w:pPr>
        <w:pStyle w:val="8"/>
      </w:pPr>
      <w:r>
        <w:rPr>
          <w:rFonts w:hint="eastAsia"/>
        </w:rPr>
        <w:t>⑵投标人可免费提供的、包含但不限于招标人所要求的其他相关服务内容，按本招标书“第二章 投标文件编制”要求，在其“开标一览表”中一并说明。</w:t>
      </w:r>
    </w:p>
    <w:p>
      <w:pPr>
        <w:pStyle w:val="8"/>
      </w:pPr>
      <w:r>
        <w:rPr>
          <w:rFonts w:hint="eastAsia"/>
        </w:rPr>
        <w:t>5.其他</w:t>
      </w:r>
    </w:p>
    <w:p>
      <w:pPr>
        <w:pStyle w:val="8"/>
      </w:pPr>
      <w:r>
        <w:rPr>
          <w:rFonts w:hint="eastAsia"/>
        </w:rPr>
        <w:t>投标人须认可招标人由于招标人上级集团公司政策变化引起的随时终止项目的要求。如投标人不认可、不接受，则投标人在本招标书“第二章 投标文件编制”之“相关条款偏离表（含商务偏离及技术偏离）”中注明“不接受”字，招标人将视之为主动弃标。</w:t>
      </w:r>
    </w:p>
    <w:p>
      <w:pPr>
        <w:pStyle w:val="8"/>
      </w:pPr>
      <w:r>
        <w:rPr>
          <w:rFonts w:hint="eastAsia"/>
        </w:rPr>
        <w:t>其余未尽事宜，均按合同约定。</w:t>
      </w:r>
    </w:p>
    <w:p>
      <w:pPr>
        <w:pStyle w:val="8"/>
      </w:pPr>
      <w:r>
        <w:rPr>
          <w:rFonts w:hint="eastAsia"/>
        </w:rPr>
        <w:t>6.要求招标人或相关合同签订单位提供的配合，在标书文件中说明。</w:t>
      </w:r>
    </w:p>
    <w:p>
      <w:pPr>
        <w:pStyle w:val="8"/>
      </w:pPr>
      <w:r>
        <w:rPr>
          <w:rFonts w:hint="eastAsia"/>
        </w:rPr>
        <w:t>七、投标、开标、评标</w:t>
      </w:r>
    </w:p>
    <w:p>
      <w:pPr>
        <w:pStyle w:val="8"/>
      </w:pPr>
      <w:r>
        <w:rPr>
          <w:rFonts w:hint="eastAsia"/>
        </w:rPr>
        <w:t>1.投标保证金</w:t>
      </w:r>
    </w:p>
    <w:p>
      <w:pPr>
        <w:pStyle w:val="8"/>
      </w:pPr>
      <w:r>
        <w:rPr>
          <w:rFonts w:hint="eastAsia" w:hAnsi="宋体"/>
        </w:rPr>
        <w:t>⑴</w:t>
      </w:r>
      <w:r>
        <w:rPr>
          <w:rFonts w:hint="eastAsia"/>
        </w:rPr>
        <w:t>投标人向招标人财务部门缴纳</w:t>
      </w:r>
      <w:r>
        <w:rPr>
          <w:rFonts w:hint="eastAsia"/>
          <w:u w:val="single"/>
        </w:rPr>
        <w:t>5000元</w:t>
      </w:r>
      <w:r>
        <w:rPr>
          <w:rFonts w:hint="eastAsia"/>
        </w:rPr>
        <w:t>（人民币），作为投标人本次投标的保证金。</w:t>
      </w:r>
    </w:p>
    <w:p>
      <w:pPr>
        <w:pStyle w:val="8"/>
      </w:pPr>
      <w:r>
        <w:rPr>
          <w:rFonts w:hint="eastAsia" w:hAnsi="宋体"/>
        </w:rPr>
        <w:t>⑵</w:t>
      </w:r>
      <w:r>
        <w:rPr>
          <w:rFonts w:hint="eastAsia"/>
        </w:rPr>
        <w:t>缴纳方式：基本账户转账；</w:t>
      </w:r>
    </w:p>
    <w:p>
      <w:pPr>
        <w:pStyle w:val="8"/>
      </w:pPr>
      <w:r>
        <w:rPr>
          <w:rFonts w:hint="eastAsia" w:hAnsi="宋体"/>
        </w:rPr>
        <w:t>⑶</w:t>
      </w:r>
      <w:r>
        <w:rPr>
          <w:rFonts w:hint="eastAsia"/>
        </w:rPr>
        <w:t>接收单位：中国重汽集团济南动力有限公司发动机厂；</w:t>
      </w:r>
    </w:p>
    <w:p>
      <w:pPr>
        <w:pStyle w:val="8"/>
      </w:pPr>
      <w:r>
        <w:rPr>
          <w:rFonts w:hint="eastAsia" w:hAnsi="宋体"/>
        </w:rPr>
        <w:t>⑷</w:t>
      </w:r>
      <w:r>
        <w:rPr>
          <w:rFonts w:hint="eastAsia"/>
        </w:rPr>
        <w:t>转账信息：（该账户已经招标人授权）</w:t>
      </w:r>
    </w:p>
    <w:tbl>
      <w:tblPr>
        <w:tblStyle w:val="17"/>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8"/>
            </w:pPr>
            <w:r>
              <w:rPr>
                <w:rFonts w:hint="eastAsia"/>
              </w:rPr>
              <w:t>开户银行：中国银行章丘支行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8"/>
            </w:pPr>
            <w:r>
              <w:rPr>
                <w:rFonts w:hint="eastAsia"/>
              </w:rPr>
              <w:t>户名：中国重汽集团济南动力有限公司发动机厂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8"/>
            </w:pPr>
            <w:r>
              <w:rPr>
                <w:rFonts w:hint="eastAsia"/>
              </w:rPr>
              <w:t>账号：2234 0557 4478</w:t>
            </w:r>
          </w:p>
        </w:tc>
      </w:tr>
    </w:tbl>
    <w:p>
      <w:pPr>
        <w:pStyle w:val="8"/>
      </w:pPr>
      <w:r>
        <w:rPr>
          <w:rFonts w:hint="eastAsia"/>
        </w:rPr>
        <w:t>⑸说明：</w:t>
      </w:r>
    </w:p>
    <w:p>
      <w:pPr>
        <w:pStyle w:val="8"/>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pPr>
        <w:pStyle w:val="8"/>
      </w:pPr>
      <w:r>
        <w:rPr>
          <w:rFonts w:hint="eastAsia"/>
        </w:rPr>
        <w:t>(b)投标人在向招标人出示《投标保证金缴纳凭证》后方可进行投标。</w:t>
      </w:r>
    </w:p>
    <w:p>
      <w:pPr>
        <w:pStyle w:val="8"/>
      </w:pPr>
      <w:r>
        <w:rPr>
          <w:rFonts w:hint="eastAsia"/>
        </w:rPr>
        <w:t>(c)发生以下情况时，项目实施单位有权没收保证金：</w:t>
      </w:r>
    </w:p>
    <w:p>
      <w:pPr>
        <w:pStyle w:val="8"/>
      </w:pPr>
      <w:r>
        <w:rPr>
          <w:rFonts w:hint="eastAsia"/>
        </w:rPr>
        <w:t>a）截至开标前3天，投标人无正当理由且未以书面形式递交说明而在投标截止日不来投标的；</w:t>
      </w:r>
    </w:p>
    <w:p>
      <w:pPr>
        <w:pStyle w:val="8"/>
      </w:pPr>
      <w:r>
        <w:rPr>
          <w:rFonts w:hint="eastAsia"/>
        </w:rPr>
        <w:t>b）投标人递送投标文件后，无正当理由放弃投标的；</w:t>
      </w:r>
    </w:p>
    <w:p>
      <w:pPr>
        <w:pStyle w:val="8"/>
      </w:pPr>
      <w:r>
        <w:rPr>
          <w:rFonts w:hint="eastAsia"/>
        </w:rPr>
        <w:t>c）自中标通知书发出之日起30日内，中标人无正当理由不签订合同的；</w:t>
      </w:r>
    </w:p>
    <w:p>
      <w:pPr>
        <w:pStyle w:val="8"/>
      </w:pPr>
      <w:r>
        <w:rPr>
          <w:rFonts w:hint="eastAsia"/>
        </w:rPr>
        <w:t>d）投标人在投标过程中被查实有串标、围标、陪标等违规违纪行为的；</w:t>
      </w:r>
    </w:p>
    <w:p>
      <w:pPr>
        <w:pStyle w:val="8"/>
      </w:pPr>
      <w:r>
        <w:rPr>
          <w:rFonts w:hint="eastAsia"/>
        </w:rPr>
        <w:t>e）投标人有违约违规行为或被投诉、举报的，在调查处理期间，保证金暂不退还，待调查处理结束后按有关规定处理；</w:t>
      </w:r>
    </w:p>
    <w:p>
      <w:pPr>
        <w:pStyle w:val="8"/>
      </w:pPr>
      <w:r>
        <w:rPr>
          <w:rFonts w:hint="eastAsia"/>
        </w:rPr>
        <w:t>f）出现影响采购公正的违法违规行为的、 不同投标人的投标文件异常一致或者投标报价呈规律性差异的。</w:t>
      </w:r>
    </w:p>
    <w:p>
      <w:pPr>
        <w:pStyle w:val="8"/>
      </w:pPr>
      <w:r>
        <w:rPr>
          <w:rFonts w:hint="eastAsia"/>
        </w:rPr>
        <w:t>2.开标</w:t>
      </w:r>
    </w:p>
    <w:p>
      <w:pPr>
        <w:pStyle w:val="8"/>
      </w:pPr>
      <w:r>
        <w:rPr>
          <w:rFonts w:hint="eastAsia"/>
        </w:rPr>
        <w:t>（1）本次招标的开标、评标由招标人依法组织实施，本次招标采用资质标和商务技术标分级开标的模式。</w:t>
      </w:r>
    </w:p>
    <w:p>
      <w:pPr>
        <w:pStyle w:val="8"/>
      </w:pPr>
      <w:r>
        <w:rPr>
          <w:rFonts w:hint="eastAsia"/>
        </w:rPr>
        <w:t>（2）本项目开标时间和地点见投标人须知前附表。开标会议由招标人组织并主持。招标人邀请各投标人派员参加开标会议。投标人未参加开标的，视同认可开标结果。</w:t>
      </w:r>
    </w:p>
    <w:p>
      <w:pPr>
        <w:pStyle w:val="8"/>
      </w:pPr>
      <w:r>
        <w:rPr>
          <w:rFonts w:hint="eastAsia"/>
        </w:rPr>
        <w:t>（3）开标程序</w:t>
      </w:r>
    </w:p>
    <w:p>
      <w:pPr>
        <w:pStyle w:val="8"/>
      </w:pPr>
      <w:r>
        <w:rPr>
          <w:rFonts w:hint="eastAsia"/>
        </w:rPr>
        <w:t>（a）宣布开标会议开始。</w:t>
      </w:r>
    </w:p>
    <w:p>
      <w:pPr>
        <w:pStyle w:val="8"/>
      </w:pPr>
      <w:r>
        <w:rPr>
          <w:rFonts w:hint="eastAsia"/>
        </w:rPr>
        <w:t>（b）介绍与会人员。</w:t>
      </w:r>
    </w:p>
    <w:p>
      <w:pPr>
        <w:pStyle w:val="8"/>
      </w:pPr>
      <w:r>
        <w:rPr>
          <w:rFonts w:hint="eastAsia"/>
        </w:rPr>
        <w:t>（c）核验投标人资格证件。</w:t>
      </w:r>
    </w:p>
    <w:p>
      <w:pPr>
        <w:pStyle w:val="8"/>
      </w:pPr>
      <w:r>
        <w:rPr>
          <w:rFonts w:hint="eastAsia"/>
        </w:rPr>
        <w:t>（d）投标人或投标人推选的代表对投标文件密封情况进行检查（投标人未参加开标会议的，视同认可投标文件密封完好）。</w:t>
      </w:r>
    </w:p>
    <w:p>
      <w:pPr>
        <w:pStyle w:val="8"/>
      </w:pPr>
      <w:r>
        <w:rPr>
          <w:rFonts w:hint="eastAsia"/>
        </w:rPr>
        <w:t>（e）经确认无误后，由工作人员当众拆封，先拆启资质标书，商务技术标、开标一览表暂时不拆启，由招标人指定专人保管。由评标专家组对所有投标方的资质进行审核，确定进入商务技术标评阶段的投标方。</w:t>
      </w:r>
    </w:p>
    <w:p>
      <w:pPr>
        <w:pStyle w:val="8"/>
      </w:pPr>
      <w:r>
        <w:rPr>
          <w:rFonts w:hint="eastAsia"/>
        </w:rPr>
        <w:t>（f）根据资质标评审结果，通知未进入商务技术标评标资格的投标方离场，当众拆启进入商务技术标评标资格单位的开标一览表，宣读投标人名称、投标价格和投标文件的其他主要内容，投标人授权代表现场确认无误后进行评标，</w:t>
      </w:r>
    </w:p>
    <w:p>
      <w:pPr>
        <w:pStyle w:val="8"/>
      </w:pPr>
      <w:r>
        <w:rPr>
          <w:rFonts w:hint="eastAsia"/>
        </w:rPr>
        <w:t>（</w:t>
      </w:r>
      <w:r>
        <w:t>G</w:t>
      </w:r>
      <w:r>
        <w:rPr>
          <w:rFonts w:hint="eastAsia"/>
        </w:rPr>
        <w:t>）采用多轮谈判，合理最低价评标方式。</w:t>
      </w:r>
    </w:p>
    <w:p>
      <w:pPr>
        <w:pStyle w:val="8"/>
      </w:pPr>
      <w:r>
        <w:rPr>
          <w:rFonts w:hint="eastAsia"/>
        </w:rPr>
        <w:t>（</w:t>
      </w:r>
      <w:r>
        <w:t>H</w:t>
      </w:r>
      <w:r>
        <w:rPr>
          <w:rFonts w:hint="eastAsia"/>
        </w:rPr>
        <w:t>）投标前请各投标方按照招标文件要求对项目方案进行充分准备，投标单位已默认认可上述开标、评标过程，无异议。招标人无义务对未入围投标方及未中标方做任何解释。</w:t>
      </w:r>
    </w:p>
    <w:p>
      <w:pPr>
        <w:pStyle w:val="8"/>
      </w:pPr>
      <w:r>
        <w:rPr>
          <w:rFonts w:hint="eastAsia"/>
        </w:rPr>
        <w:t>(4)所有报价货币单位均为：元（人民币，含税）。</w:t>
      </w:r>
    </w:p>
    <w:p>
      <w:pPr>
        <w:spacing w:line="360" w:lineRule="auto"/>
        <w:ind w:right="2" w:firstLine="420" w:firstLineChars="200"/>
        <w:rPr>
          <w:rFonts w:ascii="宋体" w:hAnsi="Courier New"/>
          <w:szCs w:val="22"/>
        </w:rPr>
      </w:pPr>
      <w:r>
        <w:rPr>
          <w:rFonts w:hint="eastAsia" w:ascii="宋体" w:hAnsi="Courier New"/>
          <w:szCs w:val="22"/>
        </w:rPr>
        <w:t>3.评标</w:t>
      </w:r>
    </w:p>
    <w:p>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8"/>
      </w:pPr>
      <w:r>
        <w:rPr>
          <w:rFonts w:hint="eastAsia"/>
        </w:rPr>
        <w:t>八、合同签订</w:t>
      </w:r>
    </w:p>
    <w:p>
      <w:pPr>
        <w:pStyle w:val="8"/>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8"/>
      </w:pPr>
      <w:r>
        <w:rPr>
          <w:rFonts w:hint="eastAsia"/>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，招标人有权取消其中标资格，招标人将从剩余投标人中依序重新确定中标人，或重新组织招标。</w:t>
      </w:r>
    </w:p>
    <w:p>
      <w:pPr>
        <w:pStyle w:val="8"/>
        <w:rPr>
          <w:szCs w:val="21"/>
        </w:rPr>
      </w:pPr>
      <w:r>
        <w:rPr>
          <w:rFonts w:hint="eastAsia"/>
          <w:szCs w:val="21"/>
        </w:rPr>
        <w:t>3.中标人应当按照合同约定的履约责任，需要时需</w:t>
      </w:r>
      <w:r>
        <w:rPr>
          <w:rFonts w:hint="eastAsia"/>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8"/>
      </w:pPr>
      <w:r>
        <w:rPr>
          <w:rFonts w:hint="eastAsia"/>
        </w:rPr>
        <w:t>4.中标人应在保证质量的前提下完成中标项目，不得将中标项目转包或分包给他人，否则视为违约，招标人或相关单位有权解除合同。</w:t>
      </w:r>
    </w:p>
    <w:p>
      <w:pPr>
        <w:pStyle w:val="8"/>
      </w:pPr>
      <w:r>
        <w:rPr>
          <w:rFonts w:hint="eastAsia"/>
        </w:rPr>
        <w:t>5.在履行合同过程中，中标人由于履行义务的能力或信用有严重缺陷，招标人有权解除合同并取消其中标资格，招标人将从剩余投标人中依序重新确定中标人，或重新组织招标。</w:t>
      </w:r>
    </w:p>
    <w:p>
      <w:pPr>
        <w:pStyle w:val="8"/>
      </w:pPr>
      <w:r>
        <w:rPr>
          <w:rFonts w:hint="eastAsia"/>
        </w:rPr>
        <w:t>6.招标人有权指定招标人的关联单位作为合同签订人，与中标人签署相关合同，且具体权利义务以双方最终签署的合同为准。</w:t>
      </w:r>
    </w:p>
    <w:p>
      <w:pPr>
        <w:pStyle w:val="8"/>
        <w:rPr>
          <w:rFonts w:hAnsi="宋体"/>
          <w:szCs w:val="21"/>
        </w:rPr>
      </w:pPr>
      <w:r>
        <w:rPr>
          <w:rFonts w:hint="eastAsia"/>
        </w:rPr>
        <w:t>7.中标人须认可招标人由于招标人上级集团公司政策变化引起的随时终止项目的要求。</w:t>
      </w:r>
    </w:p>
    <w:p>
      <w:pPr>
        <w:pStyle w:val="8"/>
      </w:pPr>
      <w:r>
        <w:rPr>
          <w:rFonts w:hint="eastAsia"/>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2" w:name="_Hlk80690793"/>
      <w:r>
        <w:rPr>
          <w:rFonts w:hint="eastAsia" w:ascii="宋体" w:hAnsi="宋体"/>
        </w:rPr>
        <w:t>⑻</w:t>
      </w:r>
      <w:bookmarkEnd w:id="2"/>
      <w:r>
        <w:rPr>
          <w:rFonts w:hint="eastAsia" w:ascii="宋体" w:hAnsi="Courier New"/>
        </w:rPr>
        <w:t>中标人不按规定签订合同；</w:t>
      </w:r>
    </w:p>
    <w:p>
      <w:pPr>
        <w:spacing w:line="520" w:lineRule="exact"/>
        <w:ind w:right="2" w:firstLine="420" w:firstLineChars="200"/>
        <w:rPr>
          <w:rFonts w:ascii="宋体" w:hAnsi="Courier New"/>
        </w:rPr>
      </w:pPr>
      <w:r>
        <w:rPr>
          <w:rFonts w:hint="eastAsia" w:ascii="宋体" w:hAnsi="Courier New"/>
        </w:rPr>
        <w:t>⑼法律、法规规定的其他情况。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8"/>
      </w:pPr>
      <w:r>
        <w:rPr>
          <w:rFonts w:hint="eastAsia"/>
        </w:rPr>
        <w:t>十、中标人瑕疵滞后发现的处理原则</w:t>
      </w:r>
    </w:p>
    <w:p>
      <w:pPr>
        <w:spacing w:line="520" w:lineRule="exact"/>
        <w:ind w:right="2" w:firstLine="422" w:firstLineChars="200"/>
        <w:rPr>
          <w:rFonts w:hAnsi="宋体"/>
          <w:b/>
          <w:bCs/>
          <w:sz w:val="28"/>
          <w:szCs w:val="28"/>
        </w:rPr>
      </w:pPr>
      <w:r>
        <w:rPr>
          <w:rFonts w:hint="eastAsia" w:ascii="宋体" w:hAnsi="Courier New"/>
          <w:b/>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8"/>
      </w:pPr>
      <w:r>
        <w:br w:type="page"/>
      </w:r>
    </w:p>
    <w:p>
      <w:pPr>
        <w:pStyle w:val="8"/>
        <w:jc w:val="center"/>
        <w:rPr>
          <w:rFonts w:hint="eastAsia" w:ascii="黑体" w:hAnsi="黑体" w:eastAsia="黑体" w:cs="黑体"/>
          <w:sz w:val="40"/>
          <w:szCs w:val="36"/>
        </w:rPr>
      </w:pPr>
      <w:bookmarkStart w:id="3" w:name="_Toc27653"/>
      <w:r>
        <w:rPr>
          <w:rFonts w:hint="eastAsia" w:ascii="黑体" w:hAnsi="黑体" w:eastAsia="黑体" w:cs="黑体"/>
          <w:sz w:val="40"/>
          <w:szCs w:val="36"/>
        </w:rPr>
        <w:t>第二章  投标文件编制</w:t>
      </w:r>
      <w:bookmarkEnd w:id="3"/>
    </w:p>
    <w:p>
      <w:pPr>
        <w:pStyle w:val="8"/>
      </w:pPr>
      <w:r>
        <w:rPr>
          <w:rFonts w:hint="eastAsia"/>
        </w:rPr>
        <w:t>一、投标文件签署</w:t>
      </w:r>
    </w:p>
    <w:p>
      <w:pPr>
        <w:pStyle w:val="8"/>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8"/>
      </w:pPr>
      <w:r>
        <w:rPr>
          <w:rFonts w:hint="eastAsia"/>
        </w:rPr>
        <w:t>2.任何行间插字、涂改和增删，必须由投标人的法定代表人或授权代表签字或加盖公章后才有效。</w:t>
      </w:r>
    </w:p>
    <w:p>
      <w:pPr>
        <w:pStyle w:val="8"/>
      </w:pPr>
      <w:r>
        <w:rPr>
          <w:rFonts w:hint="eastAsia"/>
        </w:rPr>
        <w:t>二、投标文件的密封和标记</w:t>
      </w:r>
    </w:p>
    <w:p>
      <w:pPr>
        <w:pStyle w:val="8"/>
      </w:pPr>
      <w:r>
        <w:rPr>
          <w:rFonts w:hint="eastAsia"/>
        </w:rPr>
        <w:t>1.投标人应将投标文件正、副本及U盘电子版一同密封送达，并在封面明显处注明以下内容：</w:t>
      </w:r>
    </w:p>
    <w:p>
      <w:pPr>
        <w:pStyle w:val="8"/>
      </w:pPr>
      <w:r>
        <w:rPr>
          <w:rFonts w:hint="eastAsia"/>
        </w:rPr>
        <w:t>⑴文件名称（商务标或技术标或资质文件）</w:t>
      </w:r>
    </w:p>
    <w:p>
      <w:pPr>
        <w:pStyle w:val="8"/>
      </w:pPr>
      <w:r>
        <w:rPr>
          <w:rFonts w:hint="eastAsia"/>
        </w:rPr>
        <w:t>⑵项目名称</w:t>
      </w:r>
    </w:p>
    <w:p>
      <w:pPr>
        <w:pStyle w:val="8"/>
      </w:pPr>
      <w:r>
        <w:rPr>
          <w:rFonts w:hint="eastAsia"/>
        </w:rPr>
        <w:t>⑶投标人名称（加盖公章）、地址、邮编、电话、传真</w:t>
      </w:r>
    </w:p>
    <w:p>
      <w:pPr>
        <w:pStyle w:val="8"/>
      </w:pPr>
      <w:r>
        <w:rPr>
          <w:rFonts w:hint="eastAsia"/>
        </w:rPr>
        <w:t>2.请投标人将</w:t>
      </w:r>
      <w:r>
        <w:t>2</w:t>
      </w:r>
      <w:r>
        <w:rPr>
          <w:rFonts w:hint="eastAsia"/>
        </w:rPr>
        <w:t>份“开标一览表”单独密封，并注明开标一览表、项目名称、投标人名称（加盖公章），与投标文件同时提交。</w:t>
      </w:r>
    </w:p>
    <w:p>
      <w:pPr>
        <w:pStyle w:val="8"/>
      </w:pPr>
      <w:r>
        <w:rPr>
          <w:rFonts w:hint="eastAsia"/>
        </w:rPr>
        <w:t>3.每一密封文件在封口处加盖投标人公章并注明“于20</w:t>
      </w:r>
      <w:r>
        <w:t xml:space="preserve">  </w:t>
      </w:r>
      <w:r>
        <w:rPr>
          <w:rFonts w:hint="eastAsia"/>
        </w:rPr>
        <w:t>年</w:t>
      </w:r>
      <w:r>
        <w:t xml:space="preserve">  </w:t>
      </w:r>
      <w:r>
        <w:rPr>
          <w:rFonts w:hint="eastAsia"/>
        </w:rPr>
        <w:t>月</w:t>
      </w:r>
      <w:r>
        <w:t xml:space="preserve">  </w:t>
      </w:r>
      <w:r>
        <w:rPr>
          <w:rFonts w:hint="eastAsia"/>
        </w:rPr>
        <w:t>日上午X时之前不准启封”字样。</w:t>
      </w:r>
    </w:p>
    <w:p>
      <w:pPr>
        <w:pStyle w:val="8"/>
      </w:pPr>
      <w:r>
        <w:rPr>
          <w:rFonts w:hint="eastAsia"/>
        </w:rPr>
        <w:t>4.如果投标人未按上述要求对投标文件密封及加写标记，招标人对投标人提前启封概不负责。对由此造成提前开封的投标文件，招标人有权予以拒绝，并退回投标人。</w:t>
      </w:r>
    </w:p>
    <w:p>
      <w:pPr>
        <w:pStyle w:val="8"/>
      </w:pPr>
      <w:r>
        <w:rPr>
          <w:rFonts w:hint="eastAsia"/>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r>
        <w:rPr>
          <w:rFonts w:hint="eastAsia" w:ascii="宋体" w:hAnsi="宋体"/>
          <w:u w:val="single"/>
        </w:rPr>
        <w:t>AGV自动换刀技术研究</w:t>
      </w:r>
      <w:r>
        <w:rPr>
          <w:rFonts w:hint="eastAsia" w:ascii="宋体" w:hAnsi="宋体"/>
        </w:rPr>
        <w:t>(项目)</w:t>
      </w:r>
    </w:p>
    <w:p>
      <w:pPr>
        <w:rPr>
          <w:rFonts w:ascii="宋体" w:hAnsi="宋体"/>
        </w:rPr>
      </w:pP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（招标人名称）中国重汽集团济南动力有限公司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ascii="宋体" w:hAnsi="宋体"/>
          <w:u w:val="single"/>
        </w:rPr>
        <w:t xml:space="preserve"> </w:t>
      </w:r>
      <w:r>
        <w:rPr>
          <w:rFonts w:hint="eastAsia" w:ascii="宋体" w:hAnsi="宋体"/>
        </w:rPr>
        <w:t>份和副本一式</w:t>
      </w:r>
      <w:r>
        <w:rPr>
          <w:rFonts w:ascii="宋体" w:hAnsi="宋体"/>
          <w:u w:val="single"/>
        </w:rPr>
        <w:t xml:space="preserve"> </w:t>
      </w:r>
      <w:r>
        <w:rPr>
          <w:rFonts w:hint="eastAsia" w:ascii="宋体" w:hAnsi="宋体"/>
        </w:rPr>
        <w:t>份）</w:t>
      </w:r>
    </w:p>
    <w:p>
      <w:pPr>
        <w:rPr>
          <w:rFonts w:ascii="宋体" w:hAnsi="宋体"/>
        </w:rPr>
      </w:pPr>
      <w:r>
        <w:rPr>
          <w:rFonts w:hint="eastAsia" w:ascii="宋体" w:hAnsi="宋体"/>
        </w:rPr>
        <w:t>资质证明文件（</w:t>
      </w:r>
      <w:r>
        <w:rPr>
          <w:rFonts w:ascii="宋体" w:hAnsi="宋体"/>
        </w:rPr>
        <w:t xml:space="preserve"> </w:t>
      </w:r>
      <w:r>
        <w:rPr>
          <w:rFonts w:hint="eastAsia" w:ascii="宋体" w:hAnsi="宋体"/>
        </w:rPr>
        <w:t>份）</w:t>
      </w:r>
    </w:p>
    <w:p>
      <w:pPr>
        <w:rPr>
          <w:rFonts w:ascii="宋体" w:hAnsi="宋体"/>
        </w:rPr>
      </w:pPr>
      <w:r>
        <w:rPr>
          <w:rFonts w:hint="eastAsia" w:ascii="宋体" w:hAnsi="宋体"/>
        </w:rPr>
        <w:t>据此，签字代表宣布同意如下：</w:t>
      </w:r>
    </w:p>
    <w:p>
      <w:pPr>
        <w:numPr>
          <w:ilvl w:val="0"/>
          <w:numId w:val="1"/>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1"/>
        </w:numPr>
        <w:rPr>
          <w:rFonts w:ascii="宋体" w:hAnsi="宋体"/>
        </w:rPr>
      </w:pPr>
      <w:r>
        <w:rPr>
          <w:rFonts w:hint="eastAsia" w:ascii="宋体" w:hAnsi="宋体"/>
        </w:rPr>
        <w:t>投标人将按招标文件的规定履行合同责任和义务。</w:t>
      </w:r>
    </w:p>
    <w:p>
      <w:pPr>
        <w:numPr>
          <w:ilvl w:val="0"/>
          <w:numId w:val="1"/>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1"/>
        </w:numPr>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1"/>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1"/>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1"/>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w:t>
      </w:r>
      <w:r>
        <w:rPr>
          <w:rFonts w:ascii="宋体" w:hAnsi="宋体"/>
        </w:rPr>
        <w:t xml:space="preserve"> </w:t>
      </w:r>
      <w:r>
        <w:rPr>
          <w:rFonts w:hint="eastAsia" w:ascii="宋体" w:hAnsi="宋体"/>
        </w:rPr>
        <w:t>项目)</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spacing w:line="400" w:lineRule="exact"/>
        <w:jc w:val="center"/>
        <w:rPr>
          <w:rFonts w:ascii="宋体" w:hAnsi="宋体"/>
        </w:rPr>
      </w:pPr>
      <w:r>
        <w:rPr>
          <w:rFonts w:ascii="宋体" w:hAnsi="宋体" w:cs="宋体"/>
          <w:sz w:val="24"/>
        </w:rPr>
        <w:t xml:space="preserve">  </w:t>
      </w:r>
      <w:r>
        <w:rPr>
          <w:rFonts w:ascii="宋体" w:hAnsi="宋体" w:cs="宋体"/>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693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大写：                               （含税）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93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r>
              <w:rPr>
                <w:rFonts w:hint="eastAsia" w:ascii="宋体" w:hAnsi="宋体"/>
                <w:sz w:val="24"/>
              </w:rPr>
              <w:t>自收到中标通知书之日起，</w:t>
            </w:r>
            <w:r>
              <w:rPr>
                <w:rFonts w:hint="eastAsia" w:ascii="宋体" w:hAnsi="宋体"/>
                <w:bCs/>
                <w:sz w:val="24"/>
                <w:u w:val="single"/>
              </w:rPr>
              <w:t xml:space="preserve">      </w:t>
            </w:r>
            <w:r>
              <w:rPr>
                <w:rFonts w:hint="eastAsia" w:ascii="宋体" w:hAnsi="宋体"/>
                <w:bCs/>
                <w:sz w:val="24"/>
              </w:rPr>
              <w:t>个</w:t>
            </w:r>
            <w:r>
              <w:rPr>
                <w:rFonts w:hint="eastAsia" w:ascii="宋体" w:hAnsi="宋体"/>
                <w:sz w:val="24"/>
              </w:rPr>
              <w:t>日历日之内交货至供货地点（投标人自报最短供货期）。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质保期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自最终验收报告签署之日（以签署日期最晚者为准）起</w:t>
            </w:r>
            <w:r>
              <w:rPr>
                <w:rFonts w:hint="eastAsia" w:ascii="宋体" w:hAnsi="宋体"/>
                <w:bCs/>
                <w:sz w:val="24"/>
                <w:u w:val="single"/>
              </w:rPr>
              <w:t xml:space="preserve">    </w:t>
            </w:r>
            <w:r>
              <w:rPr>
                <w:rFonts w:hint="eastAsia" w:ascii="宋体" w:hAns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spacing w:line="400" w:lineRule="exact"/>
        <w:rPr>
          <w:rFonts w:ascii="宋体" w:hAnsi="宋体"/>
          <w:b/>
          <w:bCs/>
        </w:rPr>
      </w:pPr>
    </w:p>
    <w:p>
      <w:pPr>
        <w:spacing w:line="40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00" w:lineRule="auto"/>
        <w:rPr>
          <w:rFonts w:ascii="宋体" w:hAnsi="宋体"/>
          <w:b/>
          <w:bCs/>
        </w:rPr>
      </w:pPr>
      <w:r>
        <w:rPr>
          <w:rFonts w:hint="eastAsia" w:ascii="宋体" w:hAnsi="宋体"/>
          <w:b/>
          <w:bCs/>
        </w:rPr>
        <w:t>2、本表除附在投标文件中外，还应一式贰份单独密封，以便唱标。</w:t>
      </w:r>
    </w:p>
    <w:p>
      <w:pPr>
        <w:spacing w:line="300" w:lineRule="auto"/>
        <w:rPr>
          <w:rFonts w:ascii="宋体" w:hAnsi="宋体"/>
          <w:b/>
          <w:bCs/>
        </w:rPr>
      </w:pPr>
    </w:p>
    <w:p>
      <w:pPr>
        <w:spacing w:line="300" w:lineRule="auto"/>
        <w:rPr>
          <w:rFonts w:ascii="宋体" w:hAnsi="宋体"/>
          <w:b/>
          <w:bCs/>
        </w:rPr>
      </w:pPr>
    </w:p>
    <w:p>
      <w:pPr>
        <w:spacing w:line="300" w:lineRule="auto"/>
        <w:rPr>
          <w:rFonts w:ascii="宋体" w:hAnsi="宋体"/>
          <w:b/>
          <w:bCs/>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法定代表人（授权代表）：（签字）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rPr>
          <w:rFonts w:ascii="宋体" w:hAnsi="宋体"/>
          <w:sz w:val="24"/>
        </w:rPr>
      </w:pPr>
    </w:p>
    <w:p>
      <w:pPr>
        <w:spacing w:line="660" w:lineRule="exact"/>
        <w:rPr>
          <w:rFonts w:ascii="宋体" w:hAnsi="宋体"/>
          <w:sz w:val="24"/>
        </w:rPr>
      </w:pPr>
    </w:p>
    <w:p>
      <w:pPr>
        <w:rPr>
          <w:rFonts w:eastAsia="黑体"/>
          <w:b/>
          <w:bCs/>
          <w:sz w:val="28"/>
        </w:rPr>
      </w:pPr>
      <w:r>
        <w:rPr>
          <w:rFonts w:hint="eastAsia" w:eastAsia="黑体"/>
          <w:b/>
          <w:bCs/>
          <w:sz w:val="28"/>
        </w:rPr>
        <w:t>格式4</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rPr>
          <w:rFonts w:ascii="宋体" w:hAnsi="宋体"/>
        </w:rPr>
      </w:pPr>
    </w:p>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 xml:space="preserve">  日</w:t>
      </w:r>
    </w:p>
    <w:p>
      <w:pPr>
        <w:rPr>
          <w:rFonts w:ascii="宋体" w:hAnsi="宋体"/>
          <w:szCs w:val="21"/>
        </w:rPr>
      </w:pPr>
    </w:p>
    <w:p>
      <w:pPr>
        <w:jc w:val="center"/>
        <w:rPr>
          <w:rFonts w:ascii="微软雅黑" w:hAnsi="微软雅黑" w:eastAsia="微软雅黑" w:cs="微软雅黑"/>
          <w:sz w:val="28"/>
          <w:szCs w:val="28"/>
        </w:rPr>
      </w:pPr>
      <w:r>
        <w:rPr>
          <w:rFonts w:hint="eastAsia" w:ascii="黑体" w:hAnsi="黑体" w:eastAsia="黑体" w:cs="黑体"/>
          <w:sz w:val="28"/>
          <w:szCs w:val="28"/>
        </w:rPr>
        <w:t>分项报价表</w:t>
      </w:r>
    </w:p>
    <w:tbl>
      <w:tblPr>
        <w:tblStyle w:val="17"/>
        <w:tblW w:w="4997" w:type="pct"/>
        <w:tblInd w:w="0" w:type="dxa"/>
        <w:tblLayout w:type="autofit"/>
        <w:tblCellMar>
          <w:top w:w="15" w:type="dxa"/>
          <w:left w:w="15" w:type="dxa"/>
          <w:bottom w:w="15" w:type="dxa"/>
          <w:right w:w="15" w:type="dxa"/>
        </w:tblCellMar>
      </w:tblPr>
      <w:tblGrid>
        <w:gridCol w:w="607"/>
        <w:gridCol w:w="1667"/>
        <w:gridCol w:w="1725"/>
        <w:gridCol w:w="1079"/>
        <w:gridCol w:w="872"/>
        <w:gridCol w:w="516"/>
        <w:gridCol w:w="702"/>
        <w:gridCol w:w="1102"/>
        <w:gridCol w:w="1392"/>
      </w:tblGrid>
      <w:tr>
        <w:tblPrEx>
          <w:tblCellMar>
            <w:top w:w="15" w:type="dxa"/>
            <w:left w:w="15" w:type="dxa"/>
            <w:bottom w:w="15" w:type="dxa"/>
            <w:right w:w="15" w:type="dxa"/>
          </w:tblCellMar>
        </w:tblPrEx>
        <w:trPr>
          <w:trHeight w:val="288" w:hRule="atLeast"/>
        </w:trPr>
        <w:tc>
          <w:tcPr>
            <w:tcW w:w="31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序号</w:t>
            </w:r>
          </w:p>
        </w:tc>
        <w:tc>
          <w:tcPr>
            <w:tcW w:w="86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名称</w:t>
            </w:r>
          </w:p>
        </w:tc>
        <w:tc>
          <w:tcPr>
            <w:tcW w:w="89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型号</w:t>
            </w:r>
          </w:p>
        </w:tc>
        <w:tc>
          <w:tcPr>
            <w:tcW w:w="55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单位</w:t>
            </w:r>
          </w:p>
        </w:tc>
        <w:tc>
          <w:tcPr>
            <w:tcW w:w="45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数量</w:t>
            </w:r>
          </w:p>
        </w:tc>
        <w:tc>
          <w:tcPr>
            <w:tcW w:w="2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规格</w:t>
            </w:r>
          </w:p>
        </w:tc>
        <w:tc>
          <w:tcPr>
            <w:tcW w:w="36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品牌</w:t>
            </w:r>
          </w:p>
        </w:tc>
        <w:tc>
          <w:tcPr>
            <w:tcW w:w="56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单项报价</w:t>
            </w:r>
          </w:p>
        </w:tc>
        <w:tc>
          <w:tcPr>
            <w:tcW w:w="71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合计报价</w:t>
            </w:r>
          </w:p>
        </w:tc>
      </w:tr>
      <w:tr>
        <w:tblPrEx>
          <w:tblCellMar>
            <w:top w:w="15" w:type="dxa"/>
            <w:left w:w="15" w:type="dxa"/>
            <w:bottom w:w="15" w:type="dxa"/>
            <w:right w:w="15" w:type="dxa"/>
          </w:tblCellMar>
        </w:tblPrEx>
        <w:trPr>
          <w:trHeight w:val="288"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rPr>
            </w:pP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r>
      <w:tr>
        <w:tblPrEx>
          <w:tblCellMar>
            <w:top w:w="15" w:type="dxa"/>
            <w:left w:w="15" w:type="dxa"/>
            <w:bottom w:w="15" w:type="dxa"/>
            <w:right w:w="15" w:type="dxa"/>
          </w:tblCellMar>
        </w:tblPrEx>
        <w:trPr>
          <w:trHeight w:val="288"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rPr>
            </w:pP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r>
      <w:tr>
        <w:tblPrEx>
          <w:tblCellMar>
            <w:top w:w="15" w:type="dxa"/>
            <w:left w:w="15" w:type="dxa"/>
            <w:bottom w:w="15" w:type="dxa"/>
            <w:right w:w="15" w:type="dxa"/>
          </w:tblCellMar>
        </w:tblPrEx>
        <w:trPr>
          <w:trHeight w:val="288"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lang w:bidi="ar"/>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lang w:bidi="ar"/>
              </w:rPr>
            </w:pP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lang w:bidi="ar"/>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r>
      <w:tr>
        <w:tblPrEx>
          <w:tblCellMar>
            <w:top w:w="15" w:type="dxa"/>
            <w:left w:w="15" w:type="dxa"/>
            <w:bottom w:w="15" w:type="dxa"/>
            <w:right w:w="15" w:type="dxa"/>
          </w:tblCellMar>
        </w:tblPrEx>
        <w:trPr>
          <w:trHeight w:val="288"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lang w:bidi="ar"/>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lang w:bidi="ar"/>
              </w:rPr>
            </w:pP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lang w:bidi="ar"/>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r>
      <w:tr>
        <w:tblPrEx>
          <w:tblCellMar>
            <w:top w:w="15" w:type="dxa"/>
            <w:left w:w="15" w:type="dxa"/>
            <w:bottom w:w="15" w:type="dxa"/>
            <w:right w:w="15" w:type="dxa"/>
          </w:tblCellMar>
        </w:tblPrEx>
        <w:trPr>
          <w:trHeight w:val="288"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lang w:bidi="ar"/>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lang w:bidi="ar"/>
              </w:rPr>
            </w:pP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lang w:bidi="ar"/>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color w:val="000000"/>
                <w:sz w:val="20"/>
              </w:rPr>
            </w:pPr>
          </w:p>
        </w:tc>
      </w:tr>
    </w:tbl>
    <w:p>
      <w:pPr>
        <w:rPr>
          <w:rFonts w:eastAsia="黑体"/>
          <w:b/>
          <w:bCs/>
          <w:sz w:val="28"/>
        </w:rPr>
      </w:pPr>
      <w:r>
        <w:rPr>
          <w:rFonts w:hint="eastAsia" w:eastAsia="黑体"/>
          <w:b/>
          <w:bCs/>
          <w:sz w:val="28"/>
        </w:rPr>
        <w:br w:type="page"/>
      </w:r>
    </w:p>
    <w:p>
      <w:pPr>
        <w:spacing w:line="660" w:lineRule="exact"/>
        <w:rPr>
          <w:rFonts w:eastAsia="黑体"/>
          <w:b/>
          <w:bCs/>
          <w:sz w:val="28"/>
        </w:rPr>
      </w:pPr>
      <w:r>
        <w:rPr>
          <w:rFonts w:hint="eastAsia" w:eastAsia="黑体"/>
          <w:b/>
          <w:bCs/>
          <w:sz w:val="28"/>
        </w:rPr>
        <w:t>格式5</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8"/>
            </w:pPr>
            <w:r>
              <w:rPr>
                <w:rFonts w:hint="eastAsia"/>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格式6</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pPr>
        <w:rPr>
          <w:rFonts w:eastAsia="黑体"/>
          <w:b/>
          <w:bCs/>
          <w:sz w:val="28"/>
        </w:rPr>
      </w:pPr>
    </w:p>
    <w:p>
      <w:pPr>
        <w:rPr>
          <w:rFonts w:ascii="宋体" w:hAnsi="宋体"/>
          <w:sz w:val="24"/>
        </w:rPr>
      </w:pPr>
    </w:p>
    <w:p>
      <w:pPr>
        <w:rPr>
          <w:rFonts w:eastAsia="黑体"/>
          <w:b/>
          <w:bCs/>
          <w:sz w:val="28"/>
        </w:rPr>
      </w:pPr>
      <w:r>
        <w:rPr>
          <w:rFonts w:hint="eastAsia" w:eastAsia="黑体"/>
          <w:b/>
          <w:bCs/>
          <w:sz w:val="28"/>
        </w:rPr>
        <w:t>格式7</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pStyle w:val="8"/>
      </w:pPr>
      <w:r>
        <w:rPr>
          <w:rFonts w:hint="eastAsia"/>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jc w:val="center"/>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8"/>
      </w:pPr>
    </w:p>
    <w:p>
      <w:pPr>
        <w:pStyle w:val="8"/>
      </w:pPr>
      <w:r>
        <w:rPr>
          <w:rFonts w:hint="eastAsia"/>
        </w:rPr>
        <w:t>投标人名称（盖章）：              法定代表人或授权代表签字：</w:t>
      </w:r>
    </w:p>
    <w:p>
      <w:pPr>
        <w:pStyle w:val="8"/>
      </w:pPr>
    </w:p>
    <w:p>
      <w:pPr>
        <w:pStyle w:val="8"/>
        <w:ind w:firstLine="569"/>
      </w:pPr>
      <w:r>
        <w:rPr>
          <w:rFonts w:hint="eastAsia"/>
          <w:b/>
        </w:rPr>
        <w:t>注：</w:t>
      </w:r>
      <w:r>
        <w:rPr>
          <w:rFonts w:hint="eastAsia"/>
        </w:rPr>
        <w:t>1.投标人为满足本招标项目之需，需实际配置的、包含但不限于上述设备、人员及其他条目；</w:t>
      </w:r>
    </w:p>
    <w:p>
      <w:pPr>
        <w:pStyle w:val="8"/>
      </w:pPr>
      <w:r>
        <w:rPr>
          <w:rFonts w:hint="eastAsia"/>
        </w:rPr>
        <w:t>2.投标人可在上表内容基础上，酌情自行增加相关条目，以便更好的满足项目开展之需要。</w:t>
      </w: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格式8</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pStyle w:val="8"/>
      </w:pPr>
      <w:r>
        <w:rPr>
          <w:rFonts w:hint="eastAsia"/>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w:t>
      </w:r>
      <w:r>
        <w:rPr>
          <w:rFonts w:cs="宋体"/>
          <w:kern w:val="0"/>
          <w:szCs w:val="21"/>
          <w:u w:val="single"/>
        </w:rPr>
        <w:t xml:space="preserve">      </w:t>
      </w:r>
      <w:r>
        <w:rPr>
          <w:rFonts w:hint="eastAsia" w:cs="宋体"/>
          <w:kern w:val="0"/>
          <w:szCs w:val="21"/>
          <w:u w:val="single"/>
        </w:rPr>
        <w:t xml:space="preserve">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 xml:space="preserve">20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8"/>
      </w:pPr>
    </w:p>
    <w:p>
      <w:pPr>
        <w:pStyle w:val="8"/>
      </w:pPr>
    </w:p>
    <w:p>
      <w:pPr>
        <w:pStyle w:val="8"/>
      </w:pPr>
    </w:p>
    <w:p>
      <w:pPr>
        <w:pStyle w:val="8"/>
      </w:pPr>
    </w:p>
    <w:p>
      <w:pPr>
        <w:pStyle w:val="8"/>
      </w:pPr>
    </w:p>
    <w:p>
      <w:pPr>
        <w:rPr>
          <w:rFonts w:eastAsia="黑体"/>
          <w:b/>
          <w:bCs/>
          <w:sz w:val="28"/>
        </w:rPr>
      </w:pPr>
      <w:r>
        <w:rPr>
          <w:rFonts w:hint="eastAsia" w:eastAsia="黑体"/>
          <w:b/>
          <w:bCs/>
          <w:sz w:val="28"/>
        </w:rPr>
        <w:t>格式9</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pPr>
        <w:pStyle w:val="8"/>
      </w:pPr>
      <w:r>
        <w:rPr>
          <w:rFonts w:hint="eastAsia"/>
        </w:rPr>
        <w:t>日期：  年   月   日</w:t>
      </w:r>
    </w:p>
    <w:p>
      <w:pPr>
        <w:jc w:val="center"/>
        <w:rPr>
          <w:rFonts w:eastAsia="黑体"/>
          <w:b/>
          <w:bCs/>
          <w:sz w:val="28"/>
        </w:rPr>
      </w:pPr>
      <w:r>
        <w:rPr>
          <w:rFonts w:hint="eastAsia" w:eastAsia="黑体"/>
          <w:b/>
          <w:bCs/>
          <w:sz w:val="28"/>
        </w:rPr>
        <w:t>投标保证金退付表</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8"/>
            </w:pPr>
            <w:r>
              <w:rPr>
                <w:rFonts w:hint="eastAsia"/>
              </w:rPr>
              <w:t>纳税人识别号：</w:t>
            </w:r>
          </w:p>
        </w:tc>
      </w:tr>
    </w:tbl>
    <w:p>
      <w:pPr>
        <w:pStyle w:val="8"/>
      </w:pPr>
    </w:p>
    <w:p>
      <w:pPr>
        <w:pStyle w:val="8"/>
        <w:rPr>
          <w:b/>
          <w:szCs w:val="24"/>
        </w:rPr>
      </w:pPr>
      <w:r>
        <w:rPr>
          <w:rFonts w:hint="eastAsia"/>
        </w:rPr>
        <w:t>投标人名称（盖章）：              法定代表人或授权代表签字：</w:t>
      </w:r>
    </w:p>
    <w:p>
      <w:pPr>
        <w:pStyle w:val="8"/>
      </w:pPr>
    </w:p>
    <w:p>
      <w:pPr>
        <w:rPr>
          <w:rFonts w:ascii="黑体" w:hAnsi="Courier New" w:eastAsia="黑体"/>
          <w:b/>
          <w:bCs/>
          <w:sz w:val="36"/>
          <w:szCs w:val="36"/>
        </w:rPr>
      </w:pPr>
      <w:bookmarkStart w:id="4" w:name="_Toc22012"/>
      <w:bookmarkStart w:id="5" w:name="_Toc11882"/>
      <w:r>
        <w:rPr>
          <w:rFonts w:hint="eastAsia" w:ascii="黑体" w:hAnsi="Courier New" w:eastAsia="黑体"/>
          <w:b/>
          <w:bCs/>
          <w:sz w:val="36"/>
          <w:szCs w:val="36"/>
        </w:rPr>
        <w:br w:type="page"/>
      </w:r>
    </w:p>
    <w:p>
      <w:pPr>
        <w:pStyle w:val="8"/>
        <w:jc w:val="center"/>
        <w:rPr>
          <w:rFonts w:hint="eastAsia" w:ascii="黑体" w:hAnsi="黑体" w:eastAsia="黑体" w:cs="黑体"/>
          <w:sz w:val="28"/>
          <w:szCs w:val="28"/>
        </w:rPr>
      </w:pPr>
      <w:bookmarkStart w:id="6" w:name="_Toc31400"/>
      <w:r>
        <w:rPr>
          <w:rFonts w:hint="eastAsia" w:ascii="黑体" w:hAnsi="黑体" w:eastAsia="黑体" w:cs="黑体"/>
          <w:sz w:val="28"/>
          <w:szCs w:val="28"/>
        </w:rPr>
        <w:t>第三章  技术协议书</w:t>
      </w:r>
      <w:bookmarkEnd w:id="4"/>
      <w:bookmarkEnd w:id="5"/>
      <w:bookmarkEnd w:id="6"/>
    </w:p>
    <w:p>
      <w:pPr>
        <w:pStyle w:val="8"/>
        <w:rPr>
          <w:rFonts w:hint="eastAsia" w:eastAsia="宋体"/>
          <w:b/>
          <w:bCs/>
          <w:lang w:val="en-US" w:eastAsia="zh-CN"/>
        </w:rPr>
      </w:pPr>
      <w:bookmarkStart w:id="7" w:name="_Toc20883"/>
      <w:r>
        <w:rPr>
          <w:rFonts w:hint="eastAsia"/>
          <w:b/>
          <w:bCs/>
        </w:rPr>
        <w:t>一、</w:t>
      </w:r>
      <w:r>
        <w:rPr>
          <w:rFonts w:hint="eastAsia"/>
          <w:b/>
          <w:bCs/>
          <w:lang w:val="en-US" w:eastAsia="zh-CN"/>
        </w:rPr>
        <w:t>供货范围</w:t>
      </w:r>
    </w:p>
    <w:p>
      <w:pPr>
        <w:spacing w:after="0" w:line="360" w:lineRule="auto"/>
        <w:jc w:val="both"/>
        <w:outlineLvl w:val="3"/>
        <w:rPr>
          <w:rFonts w:hint="eastAsia" w:ascii="宋体" w:hAnsi="宋体" w:eastAsia="宋体" w:cs="宋体"/>
          <w:b/>
          <w:sz w:val="24"/>
          <w14:ligatures w14:val="none"/>
        </w:rPr>
      </w:pPr>
      <w:r>
        <w:rPr>
          <w:rFonts w:hint="eastAsia" w:ascii="宋体" w:hAnsi="宋体" w:cs="宋体"/>
          <w:b/>
          <w:sz w:val="24"/>
          <w:lang w:val="en-US" w:eastAsia="zh-CN"/>
          <w14:ligatures w14:val="none"/>
        </w:rPr>
        <w:t>1.1</w:t>
      </w:r>
      <w:r>
        <w:rPr>
          <w:rFonts w:hint="eastAsia" w:ascii="宋体" w:hAnsi="宋体" w:eastAsia="宋体" w:cs="宋体"/>
          <w:b/>
          <w:sz w:val="24"/>
          <w14:ligatures w14:val="none"/>
        </w:rPr>
        <w:t>设备改造主要构成一览表：</w:t>
      </w:r>
    </w:p>
    <w:p>
      <w:pPr>
        <w:spacing w:after="0" w:line="240" w:lineRule="auto"/>
        <w:jc w:val="center"/>
        <w:rPr>
          <w:rFonts w:hint="eastAsia" w:ascii="宋体" w:hAnsi="宋体" w:eastAsia="宋体" w:cs="宋体"/>
          <w:sz w:val="24"/>
          <w14:ligatures w14:val="none"/>
        </w:rPr>
      </w:pPr>
      <w:r>
        <w:rPr>
          <w:rFonts w:hint="eastAsia" w:ascii="宋体" w:hAnsi="宋体" w:eastAsia="宋体" w:cs="宋体"/>
          <w:color w:val="000000"/>
          <w:sz w:val="24"/>
          <w14:ligatures w14:val="none"/>
        </w:rPr>
        <w:t>采购货物主要构成</w:t>
      </w:r>
      <w:r>
        <w:rPr>
          <w:rFonts w:hint="eastAsia" w:ascii="宋体" w:hAnsi="宋体" w:eastAsia="宋体" w:cs="宋体"/>
          <w:sz w:val="24"/>
          <w14:ligatures w14:val="none"/>
        </w:rPr>
        <w:t>一览表：</w:t>
      </w:r>
    </w:p>
    <w:p>
      <w:pPr>
        <w:spacing w:after="0" w:line="240" w:lineRule="auto"/>
        <w:jc w:val="center"/>
        <w:rPr>
          <w:rFonts w:hint="eastAsia" w:ascii="宋体" w:hAnsi="宋体" w:eastAsia="宋体" w:cs="宋体"/>
          <w:sz w:val="24"/>
          <w14:ligatures w14:val="none"/>
        </w:rPr>
      </w:pPr>
      <w:r>
        <w:rPr>
          <w:rFonts w:hint="eastAsia" w:ascii="宋体" w:hAnsi="宋体" w:eastAsia="宋体" w:cs="宋体"/>
          <w:sz w:val="24"/>
          <w14:ligatures w14:val="none"/>
        </w:rPr>
        <w:t>（注：投标时需注明各部分为本地供货或原装进口）</w:t>
      </w:r>
    </w:p>
    <w:tbl>
      <w:tblPr>
        <w:tblStyle w:val="17"/>
        <w:tblW w:w="4996" w:type="pct"/>
        <w:tblInd w:w="0" w:type="dxa"/>
        <w:tblLayout w:type="autofit"/>
        <w:tblCellMar>
          <w:top w:w="0" w:type="dxa"/>
          <w:left w:w="51" w:type="dxa"/>
          <w:bottom w:w="0" w:type="dxa"/>
          <w:right w:w="51" w:type="dxa"/>
        </w:tblCellMar>
      </w:tblPr>
      <w:tblGrid>
        <w:gridCol w:w="645"/>
        <w:gridCol w:w="1405"/>
        <w:gridCol w:w="1167"/>
        <w:gridCol w:w="894"/>
        <w:gridCol w:w="894"/>
        <w:gridCol w:w="2808"/>
        <w:gridCol w:w="1200"/>
        <w:gridCol w:w="719"/>
      </w:tblGrid>
      <w:tr>
        <w:tblPrEx>
          <w:tblCellMar>
            <w:top w:w="0" w:type="dxa"/>
            <w:left w:w="51" w:type="dxa"/>
            <w:bottom w:w="0" w:type="dxa"/>
            <w:right w:w="51" w:type="dxa"/>
          </w:tblCellMar>
        </w:tblPrEx>
        <w:trPr>
          <w:trHeight w:val="525" w:hRule="atLeast"/>
        </w:trPr>
        <w:tc>
          <w:tcPr>
            <w:tcW w:w="331" w:type="pct"/>
            <w:tcBorders>
              <w:top w:val="single" w:color="000000" w:sz="8" w:space="0"/>
              <w:left w:val="single" w:color="000000" w:sz="8" w:space="0"/>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序号</w:t>
            </w:r>
          </w:p>
        </w:tc>
        <w:tc>
          <w:tcPr>
            <w:tcW w:w="721"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名称</w:t>
            </w:r>
          </w:p>
        </w:tc>
        <w:tc>
          <w:tcPr>
            <w:tcW w:w="599"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型号规格</w:t>
            </w:r>
          </w:p>
        </w:tc>
        <w:tc>
          <w:tcPr>
            <w:tcW w:w="459"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单位</w:t>
            </w:r>
          </w:p>
        </w:tc>
        <w:tc>
          <w:tcPr>
            <w:tcW w:w="459"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数量</w:t>
            </w:r>
          </w:p>
        </w:tc>
        <w:tc>
          <w:tcPr>
            <w:tcW w:w="1441"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安装地点/服务对象</w:t>
            </w:r>
          </w:p>
        </w:tc>
        <w:tc>
          <w:tcPr>
            <w:tcW w:w="616"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供货方式</w:t>
            </w:r>
          </w:p>
        </w:tc>
        <w:tc>
          <w:tcPr>
            <w:tcW w:w="369" w:type="pct"/>
            <w:tcBorders>
              <w:top w:val="single" w:color="000000" w:sz="8" w:space="0"/>
              <w:left w:val="nil"/>
              <w:bottom w:val="single" w:color="auto" w:sz="4" w:space="0"/>
              <w:right w:val="single" w:color="000000" w:sz="8" w:space="0"/>
            </w:tcBorders>
            <w:shd w:val="clear" w:color="auto" w:fill="auto"/>
            <w:vAlign w:val="center"/>
          </w:tcPr>
          <w:p>
            <w:pPr>
              <w:widowControl/>
              <w:spacing w:after="0" w:line="240" w:lineRule="auto"/>
              <w:jc w:val="center"/>
              <w:textAlignment w:val="top"/>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备注</w:t>
            </w:r>
          </w:p>
        </w:tc>
      </w:tr>
      <w:tr>
        <w:tblPrEx>
          <w:tblCellMar>
            <w:top w:w="0" w:type="dxa"/>
            <w:left w:w="51" w:type="dxa"/>
            <w:bottom w:w="0" w:type="dxa"/>
            <w:right w:w="51" w:type="dxa"/>
          </w:tblCellMar>
        </w:tblPrEx>
        <w:trPr>
          <w:trHeight w:val="5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1</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hint="default" w:ascii="宋体" w:hAnsi="宋体" w:eastAsia="等线" w:cs="宋体"/>
                <w:color w:val="000000"/>
                <w:sz w:val="21"/>
                <w:szCs w:val="21"/>
                <w:lang w:val="en-US" w:eastAsia="zh-CN"/>
                <w14:ligatures w14:val="none"/>
              </w:rPr>
            </w:pPr>
            <w:r>
              <w:rPr>
                <w:rFonts w:hint="eastAsia" w:ascii="宋体" w:hAnsi="宋体" w:eastAsia="等线" w:cs="宋体"/>
                <w:color w:val="000000"/>
                <w:kern w:val="0"/>
                <w:sz w:val="21"/>
                <w:szCs w:val="21"/>
                <w:lang w:val="en-US" w:eastAsia="zh-CN" w:bidi="ar"/>
                <w14:ligatures w14:val="none"/>
              </w:rPr>
              <w:t>AGV自动换刀技术研究项目</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等线" w:cs="宋体"/>
                <w:color w:val="000000"/>
                <w:sz w:val="21"/>
                <w:szCs w:val="21"/>
                <w14:ligatures w14:val="none"/>
              </w:rPr>
            </w:pPr>
            <w:r>
              <w:rPr>
                <w:rFonts w:hint="eastAsia" w:ascii="宋体" w:hAnsi="宋体" w:eastAsia="等线" w:cs="宋体"/>
                <w:color w:val="000000"/>
                <w:sz w:val="21"/>
                <w:szCs w:val="21"/>
                <w14:ligatures w14:val="none"/>
              </w:rPr>
              <w:t>/</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台</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hint="eastAsia" w:ascii="宋体" w:hAnsi="宋体" w:eastAsia="等线" w:cs="宋体"/>
                <w:color w:val="000000"/>
                <w:sz w:val="21"/>
                <w:szCs w:val="21"/>
                <w:lang w:eastAsia="zh-CN"/>
                <w14:ligatures w14:val="none"/>
              </w:rPr>
            </w:pPr>
            <w:r>
              <w:rPr>
                <w:rFonts w:hint="eastAsia" w:ascii="宋体" w:hAnsi="宋体" w:eastAsia="等线" w:cs="宋体"/>
                <w:color w:val="000000"/>
                <w:kern w:val="0"/>
                <w:sz w:val="21"/>
                <w:szCs w:val="21"/>
                <w:lang w:val="en-US" w:eastAsia="zh-CN" w:bidi="ar"/>
                <w14:ligatures w14:val="none"/>
              </w:rPr>
              <w:t>1</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hint="eastAsia" w:ascii="宋体" w:hAnsi="宋体" w:eastAsia="等线" w:cs="宋体"/>
                <w:color w:val="000000"/>
                <w:kern w:val="0"/>
                <w:sz w:val="21"/>
                <w:szCs w:val="21"/>
                <w:lang w:bidi="ar"/>
                <w14:ligatures w14:val="none"/>
              </w:rPr>
            </w:pPr>
            <w:r>
              <w:rPr>
                <w:rFonts w:hint="eastAsia" w:ascii="宋体" w:hAnsi="宋体" w:eastAsia="等线" w:cs="宋体"/>
                <w:color w:val="000000"/>
                <w:kern w:val="0"/>
                <w:sz w:val="21"/>
                <w:szCs w:val="21"/>
                <w:lang w:bidi="ar"/>
                <w14:ligatures w14:val="none"/>
              </w:rPr>
              <w:t>中国重汽集团济南动力有限公司发动机厂</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hint="eastAsia" w:ascii="宋体" w:hAnsi="宋体" w:eastAsia="等线" w:cs="宋体"/>
                <w:color w:val="000000"/>
                <w:sz w:val="21"/>
                <w:szCs w:val="21"/>
                <w14:ligatures w14:val="none"/>
              </w:rPr>
            </w:pPr>
            <w:r>
              <w:rPr>
                <w:rFonts w:hint="eastAsia" w:ascii="宋体" w:hAnsi="宋体" w:eastAsia="等线" w:cs="宋体"/>
                <w:color w:val="000000"/>
                <w:kern w:val="0"/>
                <w:sz w:val="21"/>
                <w:szCs w:val="21"/>
                <w:lang w:bidi="ar"/>
                <w14:ligatures w14:val="none"/>
              </w:rPr>
              <w:t>交钥匙</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等线" w:cs="宋体"/>
                <w:color w:val="000000"/>
                <w:sz w:val="21"/>
                <w:szCs w:val="21"/>
                <w14:ligatures w14:val="none"/>
              </w:rPr>
            </w:pPr>
            <w:r>
              <w:rPr>
                <w:rFonts w:hint="eastAsia" w:ascii="宋体" w:hAnsi="宋体" w:eastAsia="等线" w:cs="宋体"/>
                <w:color w:val="000000"/>
                <w:sz w:val="21"/>
                <w:szCs w:val="21"/>
                <w14:ligatures w14:val="none"/>
              </w:rPr>
              <w:t>/</w:t>
            </w:r>
          </w:p>
        </w:tc>
      </w:tr>
    </w:tbl>
    <w:p>
      <w:pPr>
        <w:overflowPunct w:val="0"/>
        <w:spacing w:after="0" w:line="360" w:lineRule="auto"/>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备注：</w:t>
      </w:r>
      <w:r>
        <w:rPr>
          <w:rFonts w:ascii="宋体" w:hAnsi="宋体" w:eastAsia="宋体" w:cs="宋体"/>
          <w:sz w:val="21"/>
          <w:szCs w:val="21"/>
          <w14:ligatures w14:val="none"/>
        </w:rPr>
        <w:t>①</w:t>
      </w:r>
      <w:r>
        <w:rPr>
          <w:rFonts w:hint="eastAsia" w:ascii="宋体" w:hAnsi="宋体" w:eastAsia="宋体" w:cs="宋体"/>
          <w:sz w:val="21"/>
          <w:szCs w:val="21"/>
          <w14:ligatures w14:val="none"/>
        </w:rPr>
        <w:t xml:space="preserve"> 本表所列采购货物仅为货物的主要构成部分，应配套供货以及招标方所列其它货物和服务，请投标方认真阅读“供货范围”。若有异议，不管是多么微小，都应在投标文件“商务偏离”章节中予以详细说明。</w:t>
      </w:r>
    </w:p>
    <w:p>
      <w:pPr>
        <w:overflowPunct w:val="0"/>
        <w:spacing w:after="0" w:line="360" w:lineRule="auto"/>
        <w:ind w:firstLine="525" w:firstLineChars="250"/>
        <w:jc w:val="both"/>
        <w:outlineLvl w:val="3"/>
        <w:rPr>
          <w:rFonts w:hint="eastAsia" w:ascii="宋体" w:hAnsi="宋体" w:eastAsia="宋体" w:cs="宋体"/>
          <w:sz w:val="24"/>
          <w14:ligatures w14:val="none"/>
        </w:rPr>
      </w:pPr>
      <w:r>
        <w:rPr>
          <w:rFonts w:ascii="宋体" w:hAnsi="宋体" w:eastAsia="宋体" w:cs="宋体"/>
          <w:sz w:val="21"/>
          <w:szCs w:val="21"/>
          <w14:ligatures w14:val="none"/>
        </w:rPr>
        <w:t>②</w:t>
      </w:r>
      <w:r>
        <w:rPr>
          <w:rFonts w:hint="eastAsia" w:ascii="宋体" w:hAnsi="宋体" w:eastAsia="宋体" w:cs="宋体"/>
          <w:sz w:val="21"/>
          <w:szCs w:val="21"/>
          <w14:ligatures w14:val="none"/>
        </w:rPr>
        <w:t xml:space="preserve"> 本表“供货方式”指：交钥匙方式——包括制造、运输、定点卸货、安装、调试和协助验收以及约定培训等。</w:t>
      </w:r>
    </w:p>
    <w:p>
      <w:pPr>
        <w:spacing w:after="0" w:line="360" w:lineRule="auto"/>
        <w:jc w:val="both"/>
        <w:outlineLvl w:val="3"/>
        <w:rPr>
          <w:rFonts w:hint="eastAsia" w:ascii="宋体" w:hAnsi="宋体" w:eastAsia="宋体" w:cs="宋体"/>
          <w:b/>
          <w:sz w:val="24"/>
          <w14:ligatures w14:val="none"/>
        </w:rPr>
      </w:pPr>
      <w:r>
        <w:rPr>
          <w:rFonts w:hint="eastAsia" w:ascii="宋体" w:hAnsi="宋体" w:eastAsia="宋体" w:cs="宋体"/>
          <w:b/>
          <w:sz w:val="24"/>
          <w:lang w:val="en-US" w:eastAsia="zh-CN"/>
          <w14:ligatures w14:val="none"/>
        </w:rPr>
        <w:t>1.2</w:t>
      </w:r>
      <w:r>
        <w:rPr>
          <w:rFonts w:hint="eastAsia" w:ascii="宋体" w:hAnsi="宋体" w:eastAsia="宋体" w:cs="宋体"/>
          <w:b/>
          <w:sz w:val="24"/>
          <w14:ligatures w14:val="none"/>
        </w:rPr>
        <w:t>采购货物特别说明</w:t>
      </w:r>
    </w:p>
    <w:p>
      <w:pPr>
        <w:overflowPunct w:val="0"/>
        <w:spacing w:after="0" w:line="360" w:lineRule="auto"/>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本项目关键组成部分必须按照买方提供的品牌要求配置，否则因效用不达标造成的时间、经济损失由卖方承担。详见下表：</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50"/>
        <w:gridCol w:w="2180"/>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b/>
                <w:bCs/>
                <w:color w:val="000000"/>
                <w:sz w:val="18"/>
                <w:szCs w:val="18"/>
                <w14:ligatures w14:val="none"/>
              </w:rPr>
            </w:pPr>
            <w:r>
              <w:rPr>
                <w:rFonts w:hint="eastAsia" w:ascii="宋体" w:hAnsi="宋体" w:eastAsia="宋体" w:cs="宋体"/>
                <w:b/>
                <w:bCs/>
                <w:color w:val="000000"/>
                <w:sz w:val="18"/>
                <w:szCs w:val="18"/>
                <w14:ligatures w14:val="none"/>
              </w:rPr>
              <w:t>序号</w:t>
            </w:r>
          </w:p>
        </w:tc>
        <w:tc>
          <w:tcPr>
            <w:tcW w:w="1120" w:type="pct"/>
            <w:vAlign w:val="center"/>
          </w:tcPr>
          <w:p>
            <w:pPr>
              <w:overflowPunct w:val="0"/>
              <w:snapToGrid w:val="0"/>
              <w:spacing w:after="0" w:line="240" w:lineRule="auto"/>
              <w:jc w:val="center"/>
              <w:rPr>
                <w:rFonts w:hint="eastAsia" w:ascii="宋体" w:hAnsi="宋体" w:eastAsia="宋体" w:cs="宋体"/>
                <w:b/>
                <w:bCs/>
                <w:color w:val="000000"/>
                <w:sz w:val="18"/>
                <w:szCs w:val="18"/>
                <w14:ligatures w14:val="none"/>
              </w:rPr>
            </w:pPr>
            <w:r>
              <w:rPr>
                <w:rFonts w:hint="eastAsia" w:ascii="宋体" w:hAnsi="宋体" w:eastAsia="宋体" w:cs="宋体"/>
                <w:b/>
                <w:bCs/>
                <w:color w:val="000000"/>
                <w:sz w:val="18"/>
                <w:szCs w:val="18"/>
                <w14:ligatures w14:val="none"/>
              </w:rPr>
              <w:t>名     称</w:t>
            </w:r>
          </w:p>
        </w:tc>
        <w:tc>
          <w:tcPr>
            <w:tcW w:w="3494" w:type="pct"/>
            <w:vAlign w:val="center"/>
          </w:tcPr>
          <w:p>
            <w:pPr>
              <w:overflowPunct w:val="0"/>
              <w:snapToGrid w:val="0"/>
              <w:spacing w:after="0" w:line="240" w:lineRule="auto"/>
              <w:jc w:val="center"/>
              <w:rPr>
                <w:rFonts w:hint="eastAsia" w:ascii="宋体" w:hAnsi="宋体" w:eastAsia="宋体" w:cs="宋体"/>
                <w:b/>
                <w:bCs/>
                <w:color w:val="000000"/>
                <w:sz w:val="18"/>
                <w:szCs w:val="18"/>
                <w14:ligatures w14:val="none"/>
              </w:rPr>
            </w:pPr>
            <w:r>
              <w:rPr>
                <w:rFonts w:hint="eastAsia" w:ascii="宋体" w:hAnsi="宋体" w:eastAsia="宋体" w:cs="宋体"/>
                <w:b/>
                <w:bCs/>
                <w:color w:val="000000"/>
                <w:sz w:val="18"/>
                <w:szCs w:val="18"/>
                <w14:ligatures w14: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1</w:t>
            </w:r>
          </w:p>
        </w:tc>
        <w:tc>
          <w:tcPr>
            <w:tcW w:w="1120"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低压电器</w:t>
            </w:r>
          </w:p>
        </w:tc>
        <w:tc>
          <w:tcPr>
            <w:tcW w:w="3494"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西门子、施耐德或同档次品牌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2</w:t>
            </w:r>
          </w:p>
        </w:tc>
        <w:tc>
          <w:tcPr>
            <w:tcW w:w="1120"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按钮盒/分线盒/电气柜</w:t>
            </w:r>
          </w:p>
        </w:tc>
        <w:tc>
          <w:tcPr>
            <w:tcW w:w="3494"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要求防护等级达IP65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3</w:t>
            </w:r>
          </w:p>
        </w:tc>
        <w:tc>
          <w:tcPr>
            <w:tcW w:w="1120" w:type="pct"/>
            <w:vAlign w:val="center"/>
          </w:tcPr>
          <w:p>
            <w:pPr>
              <w:overflowPunct w:val="0"/>
              <w:snapToGrid w:val="0"/>
              <w:spacing w:after="0" w:line="240" w:lineRule="auto"/>
              <w:jc w:val="both"/>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工控机</w:t>
            </w:r>
          </w:p>
        </w:tc>
        <w:tc>
          <w:tcPr>
            <w:tcW w:w="3494"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康士达或等同品牌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4</w:t>
            </w:r>
          </w:p>
        </w:tc>
        <w:tc>
          <w:tcPr>
            <w:tcW w:w="1120"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3D相机</w:t>
            </w:r>
          </w:p>
        </w:tc>
        <w:tc>
          <w:tcPr>
            <w:tcW w:w="3494" w:type="pct"/>
            <w:vAlign w:val="center"/>
          </w:tcPr>
          <w:p>
            <w:pPr>
              <w:overflowPunct w:val="0"/>
              <w:snapToGrid w:val="0"/>
              <w:spacing w:after="0" w:line="240" w:lineRule="auto"/>
              <w:jc w:val="both"/>
              <w:rPr>
                <w:rFonts w:hint="eastAsia" w:ascii="宋体" w:hAnsi="宋体" w:eastAsia="宋体" w:cs="宋体"/>
                <w:color w:val="000000"/>
                <w:sz w:val="18"/>
                <w:szCs w:val="18"/>
                <w:lang w:val="en-US" w:eastAsia="zh-CN"/>
                <w14:ligatures w14:val="none"/>
              </w:rPr>
            </w:pPr>
            <w:r>
              <w:rPr>
                <w:rFonts w:hint="eastAsia" w:ascii="宋体" w:hAnsi="宋体" w:eastAsia="宋体" w:cs="宋体"/>
                <w:color w:val="000000"/>
                <w:sz w:val="18"/>
                <w:szCs w:val="18"/>
                <w14:ligatures w14:val="none"/>
              </w:rPr>
              <w:t>梅卡曼德</w:t>
            </w:r>
            <w:r>
              <w:rPr>
                <w:rFonts w:hint="eastAsia" w:ascii="宋体" w:hAnsi="宋体" w:cs="宋体"/>
                <w:color w:val="000000"/>
                <w:sz w:val="18"/>
                <w:szCs w:val="18"/>
                <w:lang w:val="en-US" w:eastAsia="zh-CN"/>
                <w14:ligatures w14:val="none"/>
              </w:rPr>
              <w:t>或等同品牌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5</w:t>
            </w:r>
          </w:p>
        </w:tc>
        <w:tc>
          <w:tcPr>
            <w:tcW w:w="1120"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光通讯模块</w:t>
            </w:r>
          </w:p>
        </w:tc>
        <w:tc>
          <w:tcPr>
            <w:tcW w:w="3494"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eastAsia="宋体" w:cs="宋体"/>
                <w:color w:val="000000"/>
                <w:sz w:val="18"/>
                <w:szCs w:val="18"/>
                <w14:ligatures w14:val="none"/>
              </w:rPr>
              <w:t>兴颂</w:t>
            </w:r>
            <w:r>
              <w:rPr>
                <w:rFonts w:hint="eastAsia" w:ascii="宋体" w:hAnsi="宋体" w:cs="宋体"/>
                <w:color w:val="000000"/>
                <w:sz w:val="18"/>
                <w:szCs w:val="18"/>
                <w:lang w:val="en-US" w:eastAsia="zh-CN"/>
                <w14:ligatures w14:val="none"/>
              </w:rPr>
              <w:t>或等同成熟品牌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6</w:t>
            </w:r>
          </w:p>
        </w:tc>
        <w:tc>
          <w:tcPr>
            <w:tcW w:w="1120"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气动元件</w:t>
            </w:r>
          </w:p>
        </w:tc>
        <w:tc>
          <w:tcPr>
            <w:tcW w:w="3494"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festo、SMC、力士乐等同档次品牌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7</w:t>
            </w:r>
          </w:p>
        </w:tc>
        <w:tc>
          <w:tcPr>
            <w:tcW w:w="1120"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扩展模块</w:t>
            </w:r>
          </w:p>
        </w:tc>
        <w:tc>
          <w:tcPr>
            <w:tcW w:w="3494"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台达或等同品牌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8</w:t>
            </w:r>
          </w:p>
        </w:tc>
        <w:tc>
          <w:tcPr>
            <w:tcW w:w="1120"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刀具芯片</w:t>
            </w:r>
          </w:p>
        </w:tc>
        <w:tc>
          <w:tcPr>
            <w:tcW w:w="3494"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eastAsia="宋体" w:cs="宋体"/>
                <w:color w:val="000000"/>
                <w:sz w:val="18"/>
                <w:szCs w:val="18"/>
                <w14:ligatures w14:val="none"/>
              </w:rPr>
              <w:t>巴鲁夫</w:t>
            </w:r>
            <w:r>
              <w:rPr>
                <w:rFonts w:hint="eastAsia" w:ascii="宋体" w:hAnsi="宋体" w:cs="宋体"/>
                <w:color w:val="000000"/>
                <w:sz w:val="18"/>
                <w:szCs w:val="18"/>
                <w:lang w:val="en-US" w:eastAsia="zh-CN"/>
                <w14:ligatures w14:val="none"/>
              </w:rPr>
              <w:t>匹配现场对刀仪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eastAsia" w:ascii="宋体" w:hAnsi="宋体" w:eastAsia="宋体" w:cs="宋体"/>
                <w:color w:val="000000"/>
                <w:sz w:val="18"/>
                <w:szCs w:val="18"/>
                <w:lang w:eastAsia="zh-CN"/>
                <w14:ligatures w14:val="none"/>
              </w:rPr>
            </w:pPr>
            <w:r>
              <w:rPr>
                <w:rFonts w:hint="eastAsia" w:ascii="宋体" w:hAnsi="宋体" w:cs="宋体"/>
                <w:color w:val="000000"/>
                <w:sz w:val="18"/>
                <w:szCs w:val="18"/>
                <w:lang w:val="en-US" w:eastAsia="zh-CN"/>
                <w14:ligatures w14:val="none"/>
              </w:rPr>
              <w:t>9</w:t>
            </w:r>
          </w:p>
        </w:tc>
        <w:tc>
          <w:tcPr>
            <w:tcW w:w="1120"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机床程序调试优化</w:t>
            </w:r>
          </w:p>
        </w:tc>
        <w:tc>
          <w:tcPr>
            <w:tcW w:w="3494" w:type="pct"/>
            <w:vAlign w:val="center"/>
          </w:tcPr>
          <w:p>
            <w:pPr>
              <w:overflowPunct w:val="0"/>
              <w:snapToGrid w:val="0"/>
              <w:spacing w:after="0" w:line="240" w:lineRule="auto"/>
              <w:jc w:val="both"/>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HELLER原厂家提供服务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7" w:hRule="atLeast"/>
          <w:jc w:val="center"/>
        </w:trPr>
        <w:tc>
          <w:tcPr>
            <w:tcW w:w="385" w:type="pct"/>
            <w:vAlign w:val="center"/>
          </w:tcPr>
          <w:p>
            <w:pPr>
              <w:overflowPunct w:val="0"/>
              <w:snapToGrid w:val="0"/>
              <w:spacing w:after="0" w:line="240" w:lineRule="auto"/>
              <w:jc w:val="center"/>
              <w:rPr>
                <w:rFonts w:hint="default" w:ascii="宋体" w:hAnsi="宋体" w:eastAsia="宋体" w:cs="宋体"/>
                <w:color w:val="000000"/>
                <w:sz w:val="18"/>
                <w:szCs w:val="18"/>
                <w:lang w:val="en-US" w:eastAsia="zh-CN"/>
                <w14:ligatures w14:val="none"/>
              </w:rPr>
            </w:pPr>
            <w:r>
              <w:rPr>
                <w:rFonts w:hint="eastAsia" w:ascii="宋体" w:hAnsi="宋体" w:cs="宋体"/>
                <w:color w:val="000000"/>
                <w:sz w:val="18"/>
                <w:szCs w:val="18"/>
                <w:lang w:val="en-US" w:eastAsia="zh-CN"/>
                <w14:ligatures w14:val="none"/>
              </w:rPr>
              <w:t>10</w:t>
            </w:r>
          </w:p>
        </w:tc>
        <w:tc>
          <w:tcPr>
            <w:tcW w:w="1120"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拖链电缆、接头</w:t>
            </w:r>
          </w:p>
        </w:tc>
        <w:tc>
          <w:tcPr>
            <w:tcW w:w="3494" w:type="pct"/>
            <w:vAlign w:val="center"/>
          </w:tcPr>
          <w:p>
            <w:pPr>
              <w:overflowPunct w:val="0"/>
              <w:snapToGrid w:val="0"/>
              <w:spacing w:after="0" w:line="240" w:lineRule="auto"/>
              <w:jc w:val="both"/>
              <w:rPr>
                <w:rFonts w:hint="eastAsia" w:ascii="宋体" w:hAnsi="宋体" w:eastAsia="宋体" w:cs="宋体"/>
                <w:color w:val="000000"/>
                <w:sz w:val="18"/>
                <w:szCs w:val="18"/>
                <w14:ligatures w14:val="none"/>
              </w:rPr>
            </w:pPr>
            <w:r>
              <w:rPr>
                <w:rFonts w:hint="eastAsia" w:ascii="宋体" w:hAnsi="宋体" w:eastAsia="宋体" w:cs="宋体"/>
                <w:color w:val="000000"/>
                <w:sz w:val="18"/>
                <w:szCs w:val="18"/>
                <w14:ligatures w14:val="none"/>
              </w:rPr>
              <w:t>Harting或者同档次品牌</w:t>
            </w:r>
          </w:p>
        </w:tc>
      </w:tr>
    </w:tbl>
    <w:p>
      <w:pPr>
        <w:spacing w:before="120" w:after="120" w:line="320" w:lineRule="exact"/>
        <w:jc w:val="both"/>
        <w:rPr>
          <w:rFonts w:hint="eastAsia"/>
          <w:sz w:val="21"/>
          <w:szCs w:val="21"/>
        </w:rPr>
      </w:pPr>
    </w:p>
    <w:p>
      <w:pPr>
        <w:snapToGrid/>
        <w:spacing w:before="120" w:after="120" w:line="320" w:lineRule="exact"/>
        <w:jc w:val="both"/>
        <w:rPr>
          <w:rFonts w:hint="eastAsia"/>
          <w:sz w:val="21"/>
          <w:szCs w:val="21"/>
        </w:rPr>
      </w:pPr>
      <w:r>
        <w:rPr>
          <w:rFonts w:ascii="宋体" w:hAnsi="宋体" w:eastAsia="宋体" w:cs="宋体"/>
          <w:color w:val="000000"/>
          <w:sz w:val="21"/>
          <w:szCs w:val="21"/>
        </w:rPr>
        <w:t>1) 在最终验收结束前，满足协议设备生产能力和功能所需的内容，在表中如有遗漏，均属卖方的供货范围；</w:t>
      </w:r>
    </w:p>
    <w:p>
      <w:pPr>
        <w:snapToGrid/>
        <w:spacing w:before="120" w:after="120" w:line="320" w:lineRule="exact"/>
        <w:jc w:val="both"/>
        <w:rPr>
          <w:rFonts w:hint="eastAsia"/>
          <w:sz w:val="21"/>
          <w:szCs w:val="21"/>
        </w:rPr>
      </w:pPr>
      <w:r>
        <w:rPr>
          <w:rFonts w:ascii="宋体" w:hAnsi="宋体" w:eastAsia="宋体" w:cs="宋体"/>
          <w:color w:val="000000"/>
          <w:sz w:val="21"/>
          <w:szCs w:val="21"/>
        </w:rPr>
        <w:t>2) 如在与买方无关的情况下，卖方改变了供货范围中的设备及零部件的类型或数量，增加部分由卖方提供；</w:t>
      </w:r>
    </w:p>
    <w:p>
      <w:pPr>
        <w:snapToGrid/>
        <w:spacing w:before="120" w:after="120" w:line="320" w:lineRule="exact"/>
        <w:jc w:val="both"/>
        <w:rPr>
          <w:rFonts w:hint="eastAsia"/>
          <w:sz w:val="21"/>
          <w:szCs w:val="21"/>
        </w:rPr>
      </w:pPr>
      <w:r>
        <w:rPr>
          <w:rFonts w:ascii="宋体" w:hAnsi="宋体" w:eastAsia="宋体" w:cs="宋体"/>
          <w:color w:val="000000"/>
          <w:sz w:val="21"/>
          <w:szCs w:val="21"/>
        </w:rPr>
        <w:t>3) 在调试期间发生的卖方供货设备上因卖方原因造成的部件损坏或消耗，由卖方负责；</w:t>
      </w:r>
    </w:p>
    <w:p>
      <w:pPr>
        <w:snapToGrid/>
        <w:spacing w:before="120" w:after="120" w:line="320" w:lineRule="exact"/>
        <w:jc w:val="both"/>
        <w:rPr>
          <w:rFonts w:ascii="宋体" w:hAnsi="宋体" w:eastAsia="宋体" w:cs="宋体"/>
          <w:color w:val="000000"/>
          <w:sz w:val="21"/>
          <w:szCs w:val="21"/>
        </w:rPr>
      </w:pPr>
      <w:r>
        <w:rPr>
          <w:rFonts w:ascii="宋体" w:hAnsi="宋体" w:eastAsia="宋体" w:cs="宋体"/>
          <w:color w:val="000000"/>
          <w:sz w:val="21"/>
          <w:szCs w:val="21"/>
        </w:rPr>
        <w:t>4）电气配管、配线供需双方分交如下：买方提供接线点，卖方自行接入。</w:t>
      </w:r>
    </w:p>
    <w:p>
      <w:pPr>
        <w:snapToGrid/>
        <w:spacing w:before="120" w:after="120" w:line="320" w:lineRule="exact"/>
        <w:jc w:val="both"/>
        <w:rPr>
          <w:rFonts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ascii="宋体" w:hAnsi="宋体" w:eastAsia="宋体" w:cs="宋体"/>
          <w:color w:val="000000"/>
          <w:sz w:val="21"/>
          <w:szCs w:val="21"/>
        </w:rPr>
        <w:t>）新增设备配备的节能要求：电机功率≥7.5KW时，必须选用一级能效；电机功率＜7.5KW时，优先选用一级能效；对于能源供应类设备及年运行时间≥2000小时工艺设备的电机必须选用一级能效；禁止使用三级及以下能效电机；空调必须选用一级能效；变压器最低选用二级能效。</w:t>
      </w:r>
      <w:r>
        <w:rPr>
          <w:rFonts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6</w:t>
      </w:r>
      <w:r>
        <w:rPr>
          <w:rFonts w:ascii="宋体" w:hAnsi="宋体" w:eastAsia="宋体" w:cs="宋体"/>
          <w:color w:val="000000"/>
          <w:sz w:val="21"/>
          <w:szCs w:val="21"/>
        </w:rPr>
        <w:t>）程序图纸要求：</w:t>
      </w:r>
      <w:r>
        <w:rPr>
          <w:rFonts w:ascii="宋体" w:hAnsi="宋体" w:eastAsia="宋体" w:cs="宋体"/>
          <w:color w:val="000000"/>
          <w:sz w:val="21"/>
          <w:szCs w:val="21"/>
        </w:rPr>
        <w:br w:type="textWrapping"/>
      </w:r>
      <w:r>
        <w:rPr>
          <w:rFonts w:ascii="宋体" w:hAnsi="宋体" w:eastAsia="宋体" w:cs="宋体"/>
          <w:color w:val="000000"/>
          <w:sz w:val="21"/>
          <w:szCs w:val="21"/>
        </w:rPr>
        <w:t>①供方必须提供所有设备程序的源代码，包括但不限于PLC程序、HMI程序、机器人程序、视觉程序、伺服等。</w:t>
      </w:r>
      <w:r>
        <w:rPr>
          <w:rFonts w:ascii="宋体" w:hAnsi="宋体" w:eastAsia="宋体" w:cs="宋体"/>
          <w:color w:val="000000"/>
          <w:sz w:val="21"/>
          <w:szCs w:val="21"/>
        </w:rPr>
        <w:br w:type="textWrapping"/>
      </w:r>
      <w:r>
        <w:rPr>
          <w:rFonts w:ascii="宋体" w:hAnsi="宋体" w:eastAsia="宋体" w:cs="宋体"/>
          <w:color w:val="000000"/>
          <w:sz w:val="21"/>
          <w:szCs w:val="21"/>
        </w:rPr>
        <w:t>②供方所提供的程序不得设置任何密码、保护等限制手段，PLC不得设置修改下载权限，功能块不得设置密码保护。</w:t>
      </w:r>
      <w:r>
        <w:rPr>
          <w:rFonts w:ascii="宋体" w:hAnsi="宋体" w:eastAsia="宋体" w:cs="宋体"/>
          <w:color w:val="000000"/>
          <w:sz w:val="21"/>
          <w:szCs w:val="21"/>
        </w:rPr>
        <w:br w:type="textWrapping"/>
      </w:r>
      <w:r>
        <w:rPr>
          <w:rFonts w:ascii="宋体" w:hAnsi="宋体" w:eastAsia="宋体" w:cs="宋体"/>
          <w:color w:val="000000"/>
          <w:sz w:val="21"/>
          <w:szCs w:val="21"/>
        </w:rPr>
        <w:t>③HMI界面等需要密码保护的程序，供方必须提供所有级别的用户名、密码。</w:t>
      </w:r>
      <w:r>
        <w:rPr>
          <w:rFonts w:ascii="宋体" w:hAnsi="宋体" w:eastAsia="宋体" w:cs="宋体"/>
          <w:color w:val="000000"/>
          <w:sz w:val="21"/>
          <w:szCs w:val="21"/>
        </w:rPr>
        <w:br w:type="textWrapping"/>
      </w:r>
      <w:r>
        <w:rPr>
          <w:rFonts w:ascii="宋体" w:hAnsi="宋体" w:eastAsia="宋体" w:cs="宋体"/>
          <w:color w:val="000000"/>
          <w:sz w:val="21"/>
          <w:szCs w:val="21"/>
        </w:rPr>
        <w:t>④供方需在设备入场前提供设备程序源码，HMI界面各级用户名和密码，并保证与现场程序一致。</w:t>
      </w:r>
      <w:r>
        <w:rPr>
          <w:rFonts w:ascii="宋体" w:hAnsi="宋体" w:eastAsia="宋体" w:cs="宋体"/>
          <w:color w:val="000000"/>
          <w:sz w:val="21"/>
          <w:szCs w:val="21"/>
        </w:rPr>
        <w:br w:type="textWrapping"/>
      </w:r>
      <w:r>
        <w:rPr>
          <w:rFonts w:ascii="宋体" w:hAnsi="宋体" w:eastAsia="宋体" w:cs="宋体"/>
          <w:color w:val="000000"/>
          <w:sz w:val="21"/>
          <w:szCs w:val="21"/>
        </w:rPr>
        <w:t>⑤供方需在终验收前提供最新的设备程序源码和电气图纸，图纸要求为可编辑原格式（EPLAN、CAD格式）且与实际接线一致。</w:t>
      </w:r>
      <w:r>
        <w:rPr>
          <w:rFonts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7</w:t>
      </w:r>
      <w:r>
        <w:rPr>
          <w:rFonts w:ascii="宋体" w:hAnsi="宋体" w:eastAsia="宋体" w:cs="宋体"/>
          <w:color w:val="000000"/>
          <w:sz w:val="21"/>
          <w:szCs w:val="21"/>
        </w:rPr>
        <w:t>）接口协议要求：</w:t>
      </w:r>
      <w:r>
        <w:rPr>
          <w:rFonts w:ascii="宋体" w:hAnsi="宋体" w:eastAsia="宋体" w:cs="宋体"/>
          <w:color w:val="000000"/>
          <w:sz w:val="21"/>
          <w:szCs w:val="21"/>
        </w:rPr>
        <w:br w:type="textWrapping"/>
      </w:r>
      <w:r>
        <w:rPr>
          <w:rFonts w:ascii="宋体" w:hAnsi="宋体" w:eastAsia="宋体" w:cs="宋体"/>
          <w:color w:val="000000"/>
          <w:sz w:val="21"/>
          <w:szCs w:val="21"/>
        </w:rPr>
        <w:t>①供方免费开放所有通讯接口，包括但不限于以太网、RS232、RS485、PROFIBUS、PROFINET、MODBUS 等常见接口，以及设备特有的专用接口。</w:t>
      </w:r>
      <w:r>
        <w:rPr>
          <w:rFonts w:ascii="宋体" w:hAnsi="宋体" w:eastAsia="宋体" w:cs="宋体"/>
          <w:color w:val="000000"/>
          <w:sz w:val="21"/>
          <w:szCs w:val="21"/>
        </w:rPr>
        <w:br w:type="textWrapping"/>
      </w:r>
      <w:r>
        <w:rPr>
          <w:rFonts w:ascii="宋体" w:hAnsi="宋体" w:eastAsia="宋体" w:cs="宋体"/>
          <w:color w:val="000000"/>
          <w:sz w:val="21"/>
          <w:szCs w:val="21"/>
        </w:rPr>
        <w:t>②供方免费提供数据交互功能，交互数据包括但不限于实时数据、历史数据、报警信息等。</w:t>
      </w:r>
      <w:r>
        <w:rPr>
          <w:rFonts w:ascii="宋体" w:hAnsi="宋体" w:eastAsia="宋体" w:cs="宋体"/>
          <w:color w:val="000000"/>
          <w:sz w:val="21"/>
          <w:szCs w:val="21"/>
        </w:rPr>
        <w:br w:type="textWrapping"/>
      </w:r>
      <w:r>
        <w:rPr>
          <w:rFonts w:ascii="宋体" w:hAnsi="宋体" w:eastAsia="宋体" w:cs="宋体"/>
          <w:color w:val="000000"/>
          <w:sz w:val="21"/>
          <w:szCs w:val="21"/>
        </w:rPr>
        <w:t>③供方在设备入场前提供接口的技术文档和参数说明，包括 但不限于接口协议、通讯速率、数据格式等。</w:t>
      </w:r>
      <w:r>
        <w:rPr>
          <w:rFonts w:ascii="宋体" w:hAnsi="宋体" w:eastAsia="宋体" w:cs="宋体"/>
          <w:color w:val="000000"/>
          <w:sz w:val="21"/>
          <w:szCs w:val="21"/>
        </w:rPr>
        <w:br w:type="textWrapping"/>
      </w:r>
      <w:r>
        <w:rPr>
          <w:rFonts w:ascii="宋体" w:hAnsi="宋体" w:eastAsia="宋体" w:cs="宋体"/>
          <w:color w:val="000000"/>
          <w:sz w:val="21"/>
          <w:szCs w:val="21"/>
        </w:rPr>
        <w:t>④设备使用周期内，供方免费派遣技术人员与甲方调试团队共同进行设备通讯接口的调试工作。</w:t>
      </w:r>
    </w:p>
    <w:p>
      <w:pPr>
        <w:spacing w:after="0" w:line="360" w:lineRule="auto"/>
        <w:jc w:val="both"/>
        <w:outlineLvl w:val="3"/>
        <w:rPr>
          <w:rFonts w:hint="eastAsia" w:ascii="宋体" w:hAnsi="宋体" w:eastAsia="宋体" w:cs="宋体"/>
          <w:b/>
          <w:sz w:val="24"/>
          <w14:ligatures w14:val="none"/>
        </w:rPr>
      </w:pPr>
      <w:r>
        <w:rPr>
          <w:rFonts w:hint="eastAsia" w:ascii="宋体" w:hAnsi="宋体" w:eastAsia="宋体" w:cs="宋体"/>
          <w:b/>
          <w:sz w:val="24"/>
          <w:lang w:val="en-US" w:eastAsia="zh-CN"/>
          <w14:ligatures w14:val="none"/>
        </w:rPr>
        <w:t>1.3</w:t>
      </w:r>
      <w:bookmarkStart w:id="8" w:name="_Toc27135"/>
      <w:r>
        <w:rPr>
          <w:rFonts w:hint="eastAsia" w:ascii="宋体" w:hAnsi="宋体" w:eastAsia="宋体" w:cs="宋体"/>
          <w:b/>
          <w:sz w:val="24"/>
          <w14:ligatures w14:val="none"/>
        </w:rPr>
        <w:t>采购货物概况</w:t>
      </w:r>
    </w:p>
    <w:p>
      <w:pPr>
        <w:keepNext/>
        <w:keepLines/>
        <w:numPr>
          <w:ilvl w:val="0"/>
          <w:numId w:val="2"/>
        </w:numPr>
        <w:spacing w:before="120" w:after="120" w:line="480" w:lineRule="exact"/>
        <w:jc w:val="left"/>
        <w:outlineLvl w:val="2"/>
        <w:rPr>
          <w:rFonts w:hint="eastAsia" w:ascii="宋体" w:hAnsi="宋体" w:eastAsia="宋体" w:cs="Times New Roman"/>
          <w:b w:val="0"/>
          <w:bCs w:val="0"/>
          <w:sz w:val="24"/>
          <w:lang w:val="en-US" w:eastAsia="zh-CN"/>
          <w14:ligatures w14:val="none"/>
        </w:rPr>
      </w:pPr>
      <w:r>
        <w:rPr>
          <w:rFonts w:hint="eastAsia" w:ascii="宋体" w:hAnsi="宋体" w:eastAsia="宋体" w:cs="Times New Roman"/>
          <w:b w:val="0"/>
          <w:bCs w:val="0"/>
          <w:sz w:val="24"/>
          <w14:ligatures w14:val="none"/>
        </w:rPr>
        <w:t>货物名称：</w:t>
      </w:r>
      <w:r>
        <w:rPr>
          <w:rFonts w:hint="eastAsia" w:ascii="宋体" w:hAnsi="宋体" w:eastAsia="宋体" w:cs="Times New Roman"/>
          <w:b w:val="0"/>
          <w:bCs w:val="0"/>
          <w:sz w:val="24"/>
          <w:lang w:val="en-US" w:eastAsia="zh-CN"/>
          <w14:ligatures w14:val="none"/>
        </w:rPr>
        <w:t>AGV自动换刀技术研究项目</w:t>
      </w:r>
    </w:p>
    <w:p>
      <w:pPr>
        <w:keepNext/>
        <w:keepLines/>
        <w:numPr>
          <w:ilvl w:val="0"/>
          <w:numId w:val="0"/>
        </w:numPr>
        <w:spacing w:before="120" w:after="120" w:line="480" w:lineRule="exact"/>
        <w:jc w:val="left"/>
        <w:outlineLvl w:val="2"/>
        <w:rPr>
          <w:rFonts w:hint="eastAsia" w:ascii="宋体" w:hAnsi="宋体" w:eastAsia="宋体" w:cs="Times New Roman"/>
          <w:b w:val="0"/>
          <w:bCs w:val="0"/>
          <w:sz w:val="24"/>
          <w14:ligatures w14:val="none"/>
        </w:rPr>
      </w:pPr>
      <w:r>
        <w:rPr>
          <w:rFonts w:hint="eastAsia" w:ascii="宋体" w:hAnsi="宋体" w:eastAsia="宋体" w:cs="Times New Roman"/>
          <w:b w:val="0"/>
          <w:bCs w:val="0"/>
          <w:sz w:val="24"/>
          <w:lang w:val="en-US" w:eastAsia="zh-CN"/>
          <w14:ligatures w14:val="none"/>
        </w:rPr>
        <w:t>2）</w:t>
      </w:r>
      <w:r>
        <w:rPr>
          <w:rFonts w:hint="eastAsia" w:ascii="宋体" w:hAnsi="宋体" w:eastAsia="宋体" w:cs="Times New Roman"/>
          <w:b w:val="0"/>
          <w:bCs w:val="0"/>
          <w:sz w:val="24"/>
          <w14:ligatures w14:val="none"/>
        </w:rPr>
        <w:t xml:space="preserve">货物数量： </w:t>
      </w:r>
      <w:r>
        <w:rPr>
          <w:rFonts w:hint="eastAsia" w:ascii="宋体" w:hAnsi="宋体" w:eastAsia="宋体" w:cs="Times New Roman"/>
          <w:b w:val="0"/>
          <w:bCs w:val="0"/>
          <w:sz w:val="24"/>
          <w:lang w:val="en-US" w:eastAsia="zh-CN"/>
          <w14:ligatures w14:val="none"/>
        </w:rPr>
        <w:t>1</w:t>
      </w:r>
      <w:r>
        <w:rPr>
          <w:rFonts w:hint="eastAsia" w:ascii="宋体" w:hAnsi="宋体" w:eastAsia="宋体" w:cs="Times New Roman"/>
          <w:b w:val="0"/>
          <w:bCs w:val="0"/>
          <w:sz w:val="24"/>
          <w14:ligatures w14:val="none"/>
        </w:rPr>
        <w:t xml:space="preserve">套 </w:t>
      </w:r>
    </w:p>
    <w:p>
      <w:pPr>
        <w:keepNext/>
        <w:keepLines/>
        <w:spacing w:before="120" w:after="120" w:line="480" w:lineRule="exact"/>
        <w:jc w:val="left"/>
        <w:outlineLvl w:val="2"/>
        <w:rPr>
          <w:rFonts w:hint="eastAsia" w:ascii="宋体" w:hAnsi="宋体" w:eastAsia="宋体" w:cs="Times New Roman"/>
          <w:b w:val="0"/>
          <w:bCs w:val="0"/>
          <w:sz w:val="24"/>
          <w14:ligatures w14:val="none"/>
        </w:rPr>
      </w:pPr>
      <w:r>
        <w:rPr>
          <w:rFonts w:hint="eastAsia" w:ascii="宋体" w:hAnsi="宋体" w:eastAsia="宋体" w:cs="Times New Roman"/>
          <w:b w:val="0"/>
          <w:bCs w:val="0"/>
          <w:sz w:val="24"/>
          <w:lang w:val="en-US" w:eastAsia="zh-CN"/>
          <w14:ligatures w14:val="none"/>
        </w:rPr>
        <w:t>3）</w:t>
      </w:r>
      <w:r>
        <w:rPr>
          <w:rFonts w:hint="eastAsia" w:ascii="宋体" w:hAnsi="宋体" w:eastAsia="宋体" w:cs="Times New Roman"/>
          <w:b w:val="0"/>
          <w:bCs w:val="0"/>
          <w:sz w:val="24"/>
          <w14:ligatures w14:val="none"/>
        </w:rPr>
        <w:t>分投分中：不允许</w:t>
      </w:r>
    </w:p>
    <w:bookmarkEnd w:id="8"/>
    <w:p>
      <w:pPr>
        <w:snapToGrid/>
        <w:spacing w:before="120" w:after="120" w:line="320" w:lineRule="exact"/>
        <w:jc w:val="both"/>
        <w:rPr>
          <w:rFonts w:hint="eastAsia" w:ascii="宋体" w:hAnsi="宋体" w:eastAsia="宋体" w:cs="宋体"/>
          <w:color w:val="000000"/>
          <w:sz w:val="21"/>
          <w:szCs w:val="21"/>
        </w:rPr>
      </w:pPr>
    </w:p>
    <w:p>
      <w:pPr>
        <w:pStyle w:val="8"/>
        <w:rPr>
          <w:b/>
          <w:bCs/>
        </w:rPr>
      </w:pPr>
      <w:r>
        <w:rPr>
          <w:rFonts w:hint="eastAsia"/>
          <w:b/>
          <w:bCs/>
          <w:lang w:val="en-US" w:eastAsia="zh-CN"/>
        </w:rPr>
        <w:t>二</w:t>
      </w:r>
      <w:r>
        <w:rPr>
          <w:rFonts w:hint="eastAsia"/>
          <w:b/>
          <w:bCs/>
        </w:rPr>
        <w:t>、技术规范和工艺要求</w:t>
      </w:r>
    </w:p>
    <w:p>
      <w:pPr>
        <w:pStyle w:val="8"/>
      </w:pPr>
      <w:r>
        <w:rPr>
          <w:rFonts w:hint="eastAsia"/>
        </w:rPr>
        <w:t>1.1</w:t>
      </w:r>
      <w:r>
        <w:rPr>
          <w:rFonts w:hint="eastAsia"/>
          <w:lang w:val="en-US" w:eastAsia="zh-CN"/>
        </w:rPr>
        <w:t>自动换刀数量及实施地点</w:t>
      </w:r>
      <w:r>
        <w:rPr>
          <w:rFonts w:hint="eastAsia"/>
        </w:rPr>
        <w:t xml:space="preserve">  </w:t>
      </w:r>
    </w:p>
    <w:p>
      <w:pPr>
        <w:pStyle w:val="8"/>
        <w:rPr>
          <w:rFonts w:hint="eastAsia"/>
          <w:lang w:val="en-US" w:eastAsia="zh-CN"/>
        </w:rPr>
      </w:pPr>
      <w:r>
        <w:rPr>
          <w:rFonts w:hint="eastAsia"/>
          <w:lang w:val="en-US" w:eastAsia="zh-CN"/>
        </w:rPr>
        <w:t>刀具数量</w:t>
      </w:r>
      <w:r>
        <w:rPr>
          <w:rFonts w:hint="eastAsia"/>
        </w:rPr>
        <w:t xml:space="preserve">: </w:t>
      </w:r>
      <w:r>
        <w:rPr>
          <w:rFonts w:hint="eastAsia"/>
          <w:lang w:val="en-US" w:eastAsia="zh-CN"/>
        </w:rPr>
        <w:t>17把</w:t>
      </w:r>
    </w:p>
    <w:p>
      <w:pPr>
        <w:pStyle w:val="8"/>
        <w:rPr>
          <w:rFonts w:hint="default"/>
          <w:lang w:val="en-US" w:eastAsia="zh-CN"/>
        </w:rPr>
      </w:pPr>
      <w:r>
        <w:rPr>
          <w:rFonts w:hint="eastAsia"/>
          <w:lang w:val="en-US" w:eastAsia="zh-CN"/>
        </w:rPr>
        <w:t>实施地点</w:t>
      </w:r>
      <w:r>
        <w:rPr>
          <w:rFonts w:hint="eastAsia"/>
        </w:rPr>
        <w:t>：</w:t>
      </w:r>
      <w:r>
        <w:rPr>
          <w:rFonts w:hint="eastAsia"/>
          <w:lang w:val="en-US" w:eastAsia="zh-CN"/>
        </w:rPr>
        <w:t>机加工线缸盖二部OP85-4</w:t>
      </w:r>
    </w:p>
    <w:p>
      <w:pPr>
        <w:pStyle w:val="8"/>
        <w:rPr>
          <w:rFonts w:hint="eastAsia"/>
          <w:lang w:val="en-US" w:eastAsia="zh-CN"/>
        </w:rPr>
      </w:pPr>
      <w:r>
        <w:rPr>
          <w:rFonts w:hint="eastAsia"/>
          <w:lang w:val="en-US" w:eastAsia="zh-CN"/>
        </w:rPr>
        <w:t>刀具信息</w:t>
      </w:r>
      <w:r>
        <w:rPr>
          <w:rFonts w:hint="eastAsia"/>
        </w:rPr>
        <w:t>：</w:t>
      </w:r>
    </w:p>
    <w:tbl>
      <w:tblPr>
        <w:tblStyle w:val="17"/>
        <w:tblW w:w="87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0"/>
        <w:gridCol w:w="1422"/>
        <w:gridCol w:w="1062"/>
        <w:gridCol w:w="1272"/>
        <w:gridCol w:w="1079"/>
        <w:gridCol w:w="1205"/>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刀具</w:t>
            </w:r>
            <w:r>
              <w:rPr>
                <w:rFonts w:hint="eastAsia" w:ascii="宋体" w:hAnsi="宋体" w:cs="宋体"/>
                <w:i w:val="0"/>
                <w:iCs w:val="0"/>
                <w:color w:val="000000"/>
                <w:kern w:val="0"/>
                <w:sz w:val="22"/>
                <w:szCs w:val="22"/>
                <w:u w:val="none"/>
                <w:lang w:val="en-US" w:eastAsia="zh-CN" w:bidi="ar"/>
              </w:rPr>
              <w:t>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4"/>
                <w:lang w:val="en-US" w:eastAsia="zh-CN" w:bidi="ar"/>
              </w:rPr>
              <w:t>重量（kg)</w:t>
            </w:r>
            <w:r>
              <w:rPr>
                <w:rStyle w:val="54"/>
                <w:lang w:val="en-US" w:eastAsia="zh-CN" w:bidi="ar"/>
              </w:rPr>
              <w:br w:type="textWrapping"/>
            </w:r>
            <w:r>
              <w:rPr>
                <w:rStyle w:val="55"/>
                <w:lang w:val="en-US" w:eastAsia="zh-CN" w:bidi="ar"/>
              </w:rPr>
              <w:t>±0.2kg</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长度(cm)</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刀具图片</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每日加工数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5" name="图片_1"/>
                  <wp:cNvGraphicFramePr/>
                  <a:graphic xmlns:a="http://schemas.openxmlformats.org/drawingml/2006/main">
                    <a:graphicData uri="http://schemas.openxmlformats.org/drawingml/2006/picture">
                      <pic:pic xmlns:pic="http://schemas.openxmlformats.org/drawingml/2006/picture">
                        <pic:nvPicPr>
                          <pic:cNvPr id="35" name="图片_1"/>
                          <pic:cNvPicPr/>
                        </pic:nvPicPr>
                        <pic:blipFill>
                          <a:blip r:embed="rId12"/>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3" name="图片_2"/>
                  <wp:cNvGraphicFramePr/>
                  <a:graphic xmlns:a="http://schemas.openxmlformats.org/drawingml/2006/main">
                    <a:graphicData uri="http://schemas.openxmlformats.org/drawingml/2006/picture">
                      <pic:pic xmlns:pic="http://schemas.openxmlformats.org/drawingml/2006/picture">
                        <pic:nvPicPr>
                          <pic:cNvPr id="33" name="图片_2"/>
                          <pic:cNvPicPr/>
                        </pic:nvPicPr>
                        <pic:blipFill>
                          <a:blip r:embed="rId13"/>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T40098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6" name="图片_3"/>
                  <wp:cNvGraphicFramePr/>
                  <a:graphic xmlns:a="http://schemas.openxmlformats.org/drawingml/2006/main">
                    <a:graphicData uri="http://schemas.openxmlformats.org/drawingml/2006/picture">
                      <pic:pic xmlns:pic="http://schemas.openxmlformats.org/drawingml/2006/picture">
                        <pic:nvPicPr>
                          <pic:cNvPr id="36" name="图片_3"/>
                          <pic:cNvPicPr/>
                        </pic:nvPicPr>
                        <pic:blipFill>
                          <a:blip r:embed="rId14"/>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T40216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7" name="图片_4"/>
                  <wp:cNvGraphicFramePr/>
                  <a:graphic xmlns:a="http://schemas.openxmlformats.org/drawingml/2006/main">
                    <a:graphicData uri="http://schemas.openxmlformats.org/drawingml/2006/picture">
                      <pic:pic xmlns:pic="http://schemas.openxmlformats.org/drawingml/2006/picture">
                        <pic:nvPicPr>
                          <pic:cNvPr id="37" name="图片_4"/>
                          <pic:cNvPicPr/>
                        </pic:nvPicPr>
                        <pic:blipFill>
                          <a:blip r:embed="rId15"/>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8" name="图片_5"/>
                  <wp:cNvGraphicFramePr/>
                  <a:graphic xmlns:a="http://schemas.openxmlformats.org/drawingml/2006/main">
                    <a:graphicData uri="http://schemas.openxmlformats.org/drawingml/2006/picture">
                      <pic:pic xmlns:pic="http://schemas.openxmlformats.org/drawingml/2006/picture">
                        <pic:nvPicPr>
                          <pic:cNvPr id="38" name="图片_5"/>
                          <pic:cNvPicPr/>
                        </pic:nvPicPr>
                        <pic:blipFill>
                          <a:blip r:embed="rId16"/>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4" name="图片_6"/>
                  <wp:cNvGraphicFramePr/>
                  <a:graphic xmlns:a="http://schemas.openxmlformats.org/drawingml/2006/main">
                    <a:graphicData uri="http://schemas.openxmlformats.org/drawingml/2006/picture">
                      <pic:pic xmlns:pic="http://schemas.openxmlformats.org/drawingml/2006/picture">
                        <pic:nvPicPr>
                          <pic:cNvPr id="34" name="图片_6"/>
                          <pic:cNvPicPr/>
                        </pic:nvPicPr>
                        <pic:blipFill>
                          <a:blip r:embed="rId17"/>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2" name="图片_7"/>
                  <wp:cNvGraphicFramePr/>
                  <a:graphic xmlns:a="http://schemas.openxmlformats.org/drawingml/2006/main">
                    <a:graphicData uri="http://schemas.openxmlformats.org/drawingml/2006/picture">
                      <pic:pic xmlns:pic="http://schemas.openxmlformats.org/drawingml/2006/picture">
                        <pic:nvPicPr>
                          <pic:cNvPr id="32" name="图片_7"/>
                          <pic:cNvPicPr/>
                        </pic:nvPicPr>
                        <pic:blipFill>
                          <a:blip r:embed="rId18"/>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同T30100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5" name="图片_8"/>
                  <wp:cNvGraphicFramePr/>
                  <a:graphic xmlns:a="http://schemas.openxmlformats.org/drawingml/2006/main">
                    <a:graphicData uri="http://schemas.openxmlformats.org/drawingml/2006/picture">
                      <pic:pic xmlns:pic="http://schemas.openxmlformats.org/drawingml/2006/picture">
                        <pic:nvPicPr>
                          <pic:cNvPr id="25" name="图片_8"/>
                          <pic:cNvPicPr/>
                        </pic:nvPicPr>
                        <pic:blipFill>
                          <a:blip r:embed="rId19"/>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1" name="图片_9"/>
                  <wp:cNvGraphicFramePr/>
                  <a:graphic xmlns:a="http://schemas.openxmlformats.org/drawingml/2006/main">
                    <a:graphicData uri="http://schemas.openxmlformats.org/drawingml/2006/picture">
                      <pic:pic xmlns:pic="http://schemas.openxmlformats.org/drawingml/2006/picture">
                        <pic:nvPicPr>
                          <pic:cNvPr id="31" name="图片_9"/>
                          <pic:cNvPicPr/>
                        </pic:nvPicPr>
                        <pic:blipFill>
                          <a:blip r:embed="rId20"/>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6" name="图片_10"/>
                  <wp:cNvGraphicFramePr/>
                  <a:graphic xmlns:a="http://schemas.openxmlformats.org/drawingml/2006/main">
                    <a:graphicData uri="http://schemas.openxmlformats.org/drawingml/2006/picture">
                      <pic:pic xmlns:pic="http://schemas.openxmlformats.org/drawingml/2006/picture">
                        <pic:nvPicPr>
                          <pic:cNvPr id="26" name="图片_10"/>
                          <pic:cNvPicPr/>
                        </pic:nvPicPr>
                        <pic:blipFill>
                          <a:blip r:embed="rId21"/>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7" name="图片_11"/>
                  <wp:cNvGraphicFramePr/>
                  <a:graphic xmlns:a="http://schemas.openxmlformats.org/drawingml/2006/main">
                    <a:graphicData uri="http://schemas.openxmlformats.org/drawingml/2006/picture">
                      <pic:pic xmlns:pic="http://schemas.openxmlformats.org/drawingml/2006/picture">
                        <pic:nvPicPr>
                          <pic:cNvPr id="27" name="图片_11"/>
                          <pic:cNvPicPr/>
                        </pic:nvPicPr>
                        <pic:blipFill>
                          <a:blip r:embed="rId22"/>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4" name="图片_12"/>
                  <wp:cNvGraphicFramePr/>
                  <a:graphic xmlns:a="http://schemas.openxmlformats.org/drawingml/2006/main">
                    <a:graphicData uri="http://schemas.openxmlformats.org/drawingml/2006/picture">
                      <pic:pic xmlns:pic="http://schemas.openxmlformats.org/drawingml/2006/picture">
                        <pic:nvPicPr>
                          <pic:cNvPr id="24" name="图片_12"/>
                          <pic:cNvPicPr/>
                        </pic:nvPicPr>
                        <pic:blipFill>
                          <a:blip r:embed="rId23"/>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8" name="图片_13"/>
                  <wp:cNvGraphicFramePr/>
                  <a:graphic xmlns:a="http://schemas.openxmlformats.org/drawingml/2006/main">
                    <a:graphicData uri="http://schemas.openxmlformats.org/drawingml/2006/picture">
                      <pic:pic xmlns:pic="http://schemas.openxmlformats.org/drawingml/2006/picture">
                        <pic:nvPicPr>
                          <pic:cNvPr id="28" name="图片_13"/>
                          <pic:cNvPicPr/>
                        </pic:nvPicPr>
                        <pic:blipFill>
                          <a:blip r:embed="rId24"/>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9" name="图片_14"/>
                  <wp:cNvGraphicFramePr/>
                  <a:graphic xmlns:a="http://schemas.openxmlformats.org/drawingml/2006/main">
                    <a:graphicData uri="http://schemas.openxmlformats.org/drawingml/2006/picture">
                      <pic:pic xmlns:pic="http://schemas.openxmlformats.org/drawingml/2006/picture">
                        <pic:nvPicPr>
                          <pic:cNvPr id="29" name="图片_14"/>
                          <pic:cNvPicPr/>
                        </pic:nvPicPr>
                        <pic:blipFill>
                          <a:blip r:embed="rId25"/>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30" name="图片_15"/>
                  <wp:cNvGraphicFramePr/>
                  <a:graphic xmlns:a="http://schemas.openxmlformats.org/drawingml/2006/main">
                    <a:graphicData uri="http://schemas.openxmlformats.org/drawingml/2006/picture">
                      <pic:pic xmlns:pic="http://schemas.openxmlformats.org/drawingml/2006/picture">
                        <pic:nvPicPr>
                          <pic:cNvPr id="30" name="图片_15"/>
                          <pic:cNvPicPr/>
                        </pic:nvPicPr>
                        <pic:blipFill>
                          <a:blip r:embed="rId26"/>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61975" cy="762000"/>
                  <wp:effectExtent l="0" t="0" r="1905" b="0"/>
                  <wp:wrapNone/>
                  <wp:docPr id="23" name="图片_16"/>
                  <wp:cNvGraphicFramePr/>
                  <a:graphic xmlns:a="http://schemas.openxmlformats.org/drawingml/2006/main">
                    <a:graphicData uri="http://schemas.openxmlformats.org/drawingml/2006/picture">
                      <pic:pic xmlns:pic="http://schemas.openxmlformats.org/drawingml/2006/picture">
                        <pic:nvPicPr>
                          <pic:cNvPr id="23" name="图片_16"/>
                          <pic:cNvPicPr/>
                        </pic:nvPicPr>
                        <pic:blipFill>
                          <a:blip r:embed="rId27"/>
                          <a:stretch>
                            <a:fillRect/>
                          </a:stretch>
                        </pic:blipFill>
                        <pic:spPr>
                          <a:xfrm>
                            <a:off x="0" y="0"/>
                            <a:ext cx="561975" cy="7620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bl>
    <w:p>
      <w:pPr>
        <w:pStyle w:val="8"/>
        <w:rPr>
          <w:rFonts w:hint="eastAsia"/>
          <w:lang w:val="en-US" w:eastAsia="zh-CN"/>
        </w:rPr>
      </w:pPr>
    </w:p>
    <w:p>
      <w:pPr>
        <w:pStyle w:val="8"/>
      </w:pPr>
      <w:r>
        <w:rPr>
          <w:rFonts w:hint="eastAsia"/>
        </w:rPr>
        <w:t>1.2使用地点区域自然环境：</w:t>
      </w:r>
    </w:p>
    <w:p>
      <w:pPr>
        <w:pStyle w:val="8"/>
      </w:pPr>
      <w:r>
        <w:rPr>
          <w:rFonts w:hint="eastAsia"/>
        </w:rPr>
        <w:t>1.2.1海拨高度：1000m以下</w:t>
      </w:r>
    </w:p>
    <w:p>
      <w:pPr>
        <w:pStyle w:val="8"/>
      </w:pPr>
      <w:r>
        <w:rPr>
          <w:rFonts w:hint="eastAsia"/>
        </w:rPr>
        <w:t>1.2.2环境温度：室外极端最低温度-19.7℃、极端最高温度42℃，昼夜最大温差25℃；室内温度5～45℃。</w:t>
      </w:r>
    </w:p>
    <w:p>
      <w:pPr>
        <w:pStyle w:val="8"/>
      </w:pPr>
      <w:r>
        <w:rPr>
          <w:rFonts w:hint="eastAsia"/>
        </w:rPr>
        <w:t>1.2.3相对湿度：年平均59%，最大95%、最小15%。</w:t>
      </w:r>
    </w:p>
    <w:p>
      <w:pPr>
        <w:pStyle w:val="8"/>
      </w:pPr>
      <w:r>
        <w:rPr>
          <w:rFonts w:hint="eastAsia"/>
        </w:rPr>
        <w:t>1.2.4降雨量：日最大降雨量300mm、时最大降雨量100mm。</w:t>
      </w:r>
    </w:p>
    <w:p>
      <w:pPr>
        <w:pStyle w:val="8"/>
      </w:pPr>
      <w:r>
        <w:rPr>
          <w:rFonts w:hint="eastAsia"/>
        </w:rPr>
        <w:t>1.2.5最大风速：33.3m/s。</w:t>
      </w:r>
    </w:p>
    <w:p>
      <w:pPr>
        <w:pStyle w:val="8"/>
      </w:pPr>
      <w:r>
        <w:rPr>
          <w:rFonts w:hint="eastAsia"/>
        </w:rPr>
        <w:t>1.2.6最大积雪厚度：200mm。</w:t>
      </w:r>
    </w:p>
    <w:p>
      <w:pPr>
        <w:pStyle w:val="8"/>
      </w:pPr>
      <w:r>
        <w:rPr>
          <w:rFonts w:hint="eastAsia"/>
        </w:rPr>
        <w:t>1.2.7最大冻土深度：450mm。</w:t>
      </w:r>
    </w:p>
    <w:p>
      <w:pPr>
        <w:pStyle w:val="8"/>
        <w:rPr>
          <w:rFonts w:hint="eastAsia"/>
        </w:rPr>
      </w:pPr>
      <w:r>
        <w:rPr>
          <w:rFonts w:hint="eastAsia"/>
        </w:rPr>
        <w:t>1.2.8地震设防裂度：七度。</w:t>
      </w:r>
    </w:p>
    <w:p>
      <w:pPr>
        <w:spacing w:before="120" w:after="120" w:line="360" w:lineRule="auto"/>
        <w:jc w:val="left"/>
        <w:rPr>
          <w:rFonts w:hint="eastAsia"/>
          <w:lang w:val="en-US" w:eastAsia="zh-CN"/>
        </w:rPr>
      </w:pPr>
      <w:r>
        <w:rPr>
          <w:rFonts w:hint="eastAsia"/>
          <w:lang w:val="en-US" w:eastAsia="zh-CN"/>
        </w:rPr>
        <w:t>1.2.9能源环境：</w:t>
      </w:r>
    </w:p>
    <w:p>
      <w:pPr>
        <w:spacing w:before="120" w:after="120" w:line="360" w:lineRule="auto"/>
        <w:jc w:val="left"/>
        <w:rPr>
          <w:rFonts w:hint="eastAsia"/>
        </w:rPr>
      </w:pPr>
      <w:r>
        <w:rPr>
          <w:rFonts w:hint="eastAsia" w:ascii="宋体" w:hAnsi="宋体"/>
          <w:highlight w:val="none"/>
        </w:rPr>
        <w:t>1</w:t>
      </w:r>
      <w:r>
        <w:rPr>
          <w:rFonts w:hint="eastAsia" w:ascii="宋体" w:hAnsi="宋体"/>
          <w:highlight w:val="none"/>
          <w:lang w:eastAsia="zh-CN"/>
        </w:rPr>
        <w:t>）</w:t>
      </w:r>
      <w:r>
        <w:rPr>
          <w:rFonts w:hint="eastAsia" w:ascii="宋体" w:hAnsi="宋体"/>
          <w:highlight w:val="none"/>
        </w:rPr>
        <w:t>电力：中国制式，</w:t>
      </w:r>
      <w:r>
        <w:rPr>
          <w:rFonts w:ascii="宋体" w:hAnsi="宋体" w:eastAsia="宋体" w:cs="宋体"/>
          <w:color w:val="000000"/>
          <w:sz w:val="24"/>
        </w:rPr>
        <w:t>电源：三相五线制</w:t>
      </w:r>
    </w:p>
    <w:p>
      <w:pPr>
        <w:spacing w:before="120" w:after="120" w:line="360" w:lineRule="auto"/>
        <w:jc w:val="left"/>
        <w:rPr>
          <w:rFonts w:hint="eastAsia"/>
        </w:rPr>
      </w:pPr>
      <w:r>
        <w:rPr>
          <w:rFonts w:ascii="宋体" w:hAnsi="宋体" w:eastAsia="宋体" w:cs="宋体"/>
          <w:color w:val="000000"/>
          <w:sz w:val="24"/>
        </w:rPr>
        <w:t>三相，AC380∨（＋15%，-15%），50Hz±2%；</w:t>
      </w:r>
    </w:p>
    <w:p>
      <w:pPr>
        <w:pStyle w:val="8"/>
        <w:jc w:val="left"/>
        <w:rPr>
          <w:rFonts w:ascii="宋体" w:hAnsi="宋体" w:eastAsia="宋体" w:cs="宋体"/>
          <w:color w:val="000000"/>
          <w:sz w:val="24"/>
        </w:rPr>
      </w:pPr>
      <w:r>
        <w:rPr>
          <w:rFonts w:ascii="宋体" w:hAnsi="宋体" w:eastAsia="宋体" w:cs="宋体"/>
          <w:color w:val="000000"/>
          <w:sz w:val="24"/>
        </w:rPr>
        <w:t>单相，AC220∨（＋15%，-15%），50Hz±2%；</w:t>
      </w:r>
    </w:p>
    <w:p>
      <w:pPr>
        <w:pStyle w:val="8"/>
        <w:jc w:val="left"/>
        <w:rPr>
          <w:rFonts w:hint="default" w:ascii="宋体" w:hAnsi="宋体" w:eastAsia="宋体" w:cs="宋体"/>
          <w:color w:val="000000"/>
          <w:sz w:val="24"/>
          <w:lang w:val="en-US" w:eastAsia="zh-CN"/>
        </w:rPr>
      </w:pPr>
      <w:r>
        <w:rPr>
          <w:rFonts w:hint="eastAsia" w:hAnsi="宋体"/>
          <w:color w:val="000000"/>
          <w:highlight w:val="none"/>
          <w:lang w:val="en-US" w:eastAsia="zh-CN"/>
        </w:rPr>
        <w:t>2）</w:t>
      </w:r>
      <w:r>
        <w:rPr>
          <w:rFonts w:hint="eastAsia" w:ascii="宋体" w:hAnsi="宋体"/>
          <w:color w:val="000000"/>
          <w:highlight w:val="none"/>
        </w:rPr>
        <w:t>压缩空气：</w:t>
      </w:r>
      <w:r>
        <w:rPr>
          <w:rFonts w:hint="eastAsia" w:ascii="宋体" w:hAnsi="宋体" w:eastAsia="宋体" w:cs="Times New Roman"/>
          <w:highlight w:val="none"/>
        </w:rPr>
        <w:t>厂房供气，0.</w:t>
      </w:r>
      <w:r>
        <w:rPr>
          <w:rFonts w:hint="eastAsia" w:ascii="宋体" w:hAnsi="宋体" w:eastAsia="宋体" w:cs="Times New Roman"/>
          <w:highlight w:val="none"/>
          <w:lang w:val="en-US" w:eastAsia="zh-CN"/>
        </w:rPr>
        <w:t>4</w:t>
      </w:r>
      <w:r>
        <w:rPr>
          <w:rFonts w:hint="eastAsia" w:ascii="宋体" w:hAnsi="宋体" w:eastAsia="宋体" w:cs="Times New Roman"/>
          <w:highlight w:val="none"/>
        </w:rPr>
        <w:t>～0.</w:t>
      </w:r>
      <w:r>
        <w:rPr>
          <w:rFonts w:hint="eastAsia" w:ascii="宋体" w:hAnsi="宋体" w:eastAsia="宋体" w:cs="Times New Roman"/>
          <w:highlight w:val="none"/>
          <w:lang w:val="en-US" w:eastAsia="zh-CN"/>
        </w:rPr>
        <w:t>6</w:t>
      </w:r>
      <w:r>
        <w:rPr>
          <w:rFonts w:hint="eastAsia" w:ascii="宋体" w:hAnsi="宋体" w:eastAsia="宋体" w:cs="Times New Roman"/>
          <w:highlight w:val="none"/>
        </w:rPr>
        <w:t xml:space="preserve"> MPa。</w:t>
      </w:r>
    </w:p>
    <w:p>
      <w:pPr>
        <w:pStyle w:val="8"/>
      </w:pPr>
      <w:r>
        <w:rPr>
          <w:rFonts w:hint="eastAsia"/>
        </w:rPr>
        <w:t>1.3技术要求</w:t>
      </w:r>
    </w:p>
    <w:p>
      <w:pPr>
        <w:pStyle w:val="8"/>
        <w:rPr>
          <w:rFonts w:hint="eastAsia"/>
          <w:lang w:val="en-US" w:eastAsia="zh-CN"/>
        </w:rPr>
      </w:pPr>
      <w:r>
        <w:rPr>
          <w:rFonts w:hint="eastAsia"/>
          <w:lang w:val="en-US" w:eastAsia="zh-CN"/>
        </w:rPr>
        <w:t>本项目研究实现通过车载AGV对相应刀具运输、更换，实现自动换刀的功能研究。</w:t>
      </w:r>
    </w:p>
    <w:p>
      <w:pPr>
        <w:pStyle w:val="8"/>
        <w:rPr>
          <w:rFonts w:hint="eastAsia"/>
        </w:rPr>
      </w:pPr>
      <w:r>
        <w:rPr>
          <w:rFonts w:hint="eastAsia"/>
          <w:lang w:val="en-US" w:eastAsia="zh-CN"/>
        </w:rPr>
        <w:t>1.3.1整体换刀流程</w:t>
      </w:r>
    </w:p>
    <w:p>
      <w:pPr>
        <w:pStyle w:val="8"/>
        <w:rPr>
          <w:rFonts w:hint="eastAsia"/>
        </w:rPr>
      </w:pPr>
      <w:r>
        <w:rPr>
          <w:rFonts w:hint="eastAsia"/>
        </w:rPr>
        <w:t>系统维护机床的工艺信息，加工时间，刀具号，刀具名称，日加工数量。</w:t>
      </w:r>
    </w:p>
    <w:p>
      <w:pPr>
        <w:pStyle w:val="8"/>
        <w:rPr>
          <w:rFonts w:hint="eastAsia"/>
        </w:rPr>
      </w:pPr>
      <w:r>
        <w:rPr>
          <w:rFonts w:hint="eastAsia"/>
        </w:rPr>
        <w:t>1）根据寿命值自动生成备刀任务/现场人员手动在系统上新增备刀任务。</w:t>
      </w:r>
    </w:p>
    <w:p>
      <w:pPr>
        <w:pStyle w:val="8"/>
        <w:rPr>
          <w:rFonts w:hint="eastAsia"/>
        </w:rPr>
      </w:pPr>
      <w:r>
        <w:rPr>
          <w:rFonts w:hint="eastAsia"/>
        </w:rPr>
        <w:t>2）配刀人员根据备刀任务，进行备刀。</w:t>
      </w:r>
    </w:p>
    <w:p>
      <w:pPr>
        <w:pStyle w:val="8"/>
        <w:rPr>
          <w:rFonts w:hint="eastAsia"/>
        </w:rPr>
      </w:pPr>
      <w:r>
        <w:rPr>
          <w:rFonts w:hint="eastAsia"/>
        </w:rPr>
        <w:t>3）配刀人员将装好的刀具放置在刀架上，在系统进行确认，系统自动分配AGV，配送刀具到线边。</w:t>
      </w:r>
    </w:p>
    <w:p>
      <w:pPr>
        <w:pStyle w:val="8"/>
        <w:rPr>
          <w:rFonts w:hint="eastAsia"/>
        </w:rPr>
      </w:pPr>
      <w:r>
        <w:rPr>
          <w:rFonts w:hint="eastAsia"/>
        </w:rPr>
        <w:t>4）系统校验机床刀具号，刀具寿命值，与刀具的日产量进行关联匹配，生成换刀任务。</w:t>
      </w:r>
    </w:p>
    <w:p>
      <w:pPr>
        <w:pStyle w:val="8"/>
        <w:rPr>
          <w:rFonts w:hint="eastAsia"/>
        </w:rPr>
      </w:pPr>
      <w:r>
        <w:rPr>
          <w:rFonts w:hint="eastAsia"/>
        </w:rPr>
        <w:t>5）系统自动判定线边刀架的刀具号，与换刀任务进行匹配。</w:t>
      </w:r>
    </w:p>
    <w:p>
      <w:pPr>
        <w:pStyle w:val="8"/>
        <w:rPr>
          <w:rFonts w:hint="eastAsia"/>
        </w:rPr>
      </w:pPr>
      <w:r>
        <w:rPr>
          <w:rFonts w:hint="eastAsia"/>
        </w:rPr>
        <w:t>6）换刀AGV将线边刀架刀具抓取到车上，并移动至机床侧。</w:t>
      </w:r>
    </w:p>
    <w:p>
      <w:pPr>
        <w:pStyle w:val="8"/>
        <w:rPr>
          <w:rFonts w:hint="eastAsia"/>
        </w:rPr>
      </w:pPr>
      <w:r>
        <w:rPr>
          <w:rFonts w:hint="eastAsia"/>
        </w:rPr>
        <w:t>7）换刀AGV拍照进行定位补偿，完成后向机床发送准备换刀信号，等待换刀。</w:t>
      </w:r>
    </w:p>
    <w:p>
      <w:pPr>
        <w:pStyle w:val="8"/>
        <w:rPr>
          <w:rFonts w:hint="eastAsia"/>
        </w:rPr>
      </w:pPr>
      <w:r>
        <w:rPr>
          <w:rFonts w:hint="eastAsia"/>
        </w:rPr>
        <w:t>8）机床收到换刀信号后，等待当前加工程序结束后，发送允许换刀指令。</w:t>
      </w:r>
    </w:p>
    <w:p>
      <w:pPr>
        <w:pStyle w:val="8"/>
        <w:rPr>
          <w:rFonts w:hint="eastAsia"/>
        </w:rPr>
      </w:pPr>
      <w:r>
        <w:rPr>
          <w:rFonts w:hint="eastAsia"/>
        </w:rPr>
        <w:t>9）AGV收到允许换刀指令后，机床刀库进行移位，打开刀库门。</w:t>
      </w:r>
    </w:p>
    <w:p>
      <w:pPr>
        <w:pStyle w:val="8"/>
        <w:rPr>
          <w:rFonts w:hint="eastAsia"/>
        </w:rPr>
      </w:pPr>
      <w:r>
        <w:rPr>
          <w:rFonts w:hint="eastAsia"/>
        </w:rPr>
        <w:t>10）换刀AGV与机床进行光通讯交互。</w:t>
      </w:r>
    </w:p>
    <w:p>
      <w:pPr>
        <w:pStyle w:val="8"/>
        <w:rPr>
          <w:rFonts w:hint="eastAsia"/>
        </w:rPr>
      </w:pPr>
      <w:r>
        <w:rPr>
          <w:rFonts w:hint="eastAsia"/>
        </w:rPr>
        <w:t>11）换刀AGV进行卸刀，将刀具放置在车上。</w:t>
      </w:r>
    </w:p>
    <w:p>
      <w:pPr>
        <w:pStyle w:val="8"/>
        <w:rPr>
          <w:rFonts w:hint="eastAsia"/>
        </w:rPr>
      </w:pPr>
      <w:r>
        <w:rPr>
          <w:rFonts w:hint="eastAsia"/>
        </w:rPr>
        <w:t>12）换刀AGV将需要换的刀具，装载到机床。</w:t>
      </w:r>
    </w:p>
    <w:p>
      <w:pPr>
        <w:pStyle w:val="8"/>
        <w:rPr>
          <w:rFonts w:hint="eastAsia"/>
        </w:rPr>
      </w:pPr>
      <w:r>
        <w:rPr>
          <w:rFonts w:hint="eastAsia"/>
        </w:rPr>
        <w:t>13）换刀结束，关闭刀库门，将旧刀回收到线边架子。</w:t>
      </w:r>
    </w:p>
    <w:p>
      <w:pPr>
        <w:pStyle w:val="8"/>
        <w:rPr>
          <w:rFonts w:hint="eastAsia"/>
        </w:rPr>
      </w:pPr>
      <w:r>
        <w:rPr>
          <w:rFonts w:hint="eastAsia"/>
        </w:rPr>
        <w:object>
          <v:shape id="_x0000_i1025" o:spt="75" type="#_x0000_t75" style="height:445.8pt;width:309.85pt;" o:ole="t" filled="f" o:preferrelative="t" stroked="f" coordsize="21600,21600">
            <v:path/>
            <v:fill on="f" focussize="0,0"/>
            <v:stroke on="f"/>
            <v:imagedata r:id="rId29" o:title=""/>
            <o:lock v:ext="edit" aspectratio="t"/>
            <w10:wrap type="none"/>
            <w10:anchorlock/>
          </v:shape>
          <o:OLEObject Type="Embed" ProgID="Visio.Drawing.15" ShapeID="_x0000_i1025" DrawAspect="Content" ObjectID="_1468075725" r:id="rId28">
            <o:LockedField>false</o:LockedField>
          </o:OLEObject>
        </w:object>
      </w:r>
    </w:p>
    <w:p>
      <w:pPr>
        <w:pStyle w:val="8"/>
        <w:rPr>
          <w:rFonts w:hint="eastAsia"/>
          <w:lang w:val="en-US" w:eastAsia="zh-CN"/>
        </w:rPr>
      </w:pPr>
      <w:r>
        <w:rPr>
          <w:rFonts w:hint="eastAsia"/>
          <w:lang w:val="en-US" w:eastAsia="zh-CN"/>
        </w:rPr>
        <w:t>1.3.2具体改造内容及技术要求</w:t>
      </w:r>
    </w:p>
    <w:p>
      <w:pPr>
        <w:pStyle w:val="8"/>
        <w:rPr>
          <w:rFonts w:hint="eastAsia" w:ascii="宋体" w:hAnsi="宋体"/>
        </w:rPr>
      </w:pPr>
      <w:r>
        <w:rPr>
          <w:rFonts w:hint="eastAsia"/>
          <w:lang w:val="en-US" w:eastAsia="zh-CN"/>
        </w:rPr>
        <w:t>1.3.2.1软件改造</w:t>
      </w:r>
      <w:r>
        <w:rPr>
          <w:rFonts w:hint="eastAsia" w:ascii="宋体" w:hAnsi="宋体"/>
        </w:rPr>
        <w:t>原有调度系统进行升级迭代，采用新的技术框架进行部署实施。</w:t>
      </w:r>
    </w:p>
    <w:p>
      <w:pPr>
        <w:pStyle w:val="44"/>
        <w:widowControl w:val="0"/>
        <w:numPr>
          <w:ilvl w:val="0"/>
          <w:numId w:val="3"/>
        </w:numPr>
        <w:spacing w:line="360" w:lineRule="auto"/>
        <w:ind w:firstLineChars="0"/>
        <w:contextualSpacing/>
        <w:jc w:val="both"/>
        <w:rPr>
          <w:rFonts w:hint="eastAsia" w:ascii="宋体" w:hAnsi="宋体"/>
        </w:rPr>
      </w:pPr>
      <w:r>
        <w:rPr>
          <w:rFonts w:hint="eastAsia" w:ascii="宋体" w:hAnsi="宋体"/>
        </w:rPr>
        <w:t>调度系统包括，刀具配送、自动换刀等任务类型。</w:t>
      </w:r>
    </w:p>
    <w:p>
      <w:pPr>
        <w:pStyle w:val="44"/>
        <w:widowControl w:val="0"/>
        <w:numPr>
          <w:ilvl w:val="0"/>
          <w:numId w:val="3"/>
        </w:numPr>
        <w:spacing w:line="360" w:lineRule="auto"/>
        <w:ind w:firstLineChars="0"/>
        <w:contextualSpacing/>
        <w:jc w:val="both"/>
        <w:rPr>
          <w:rFonts w:hint="eastAsia" w:ascii="宋体" w:hAnsi="宋体"/>
        </w:rPr>
      </w:pPr>
      <w:r>
        <w:rPr>
          <w:rFonts w:hint="eastAsia" w:ascii="宋体" w:hAnsi="宋体"/>
        </w:rPr>
        <w:t>调度系统可实时查看车辆的状态信息。</w:t>
      </w:r>
    </w:p>
    <w:p>
      <w:pPr>
        <w:pStyle w:val="44"/>
        <w:widowControl w:val="0"/>
        <w:numPr>
          <w:ilvl w:val="0"/>
          <w:numId w:val="3"/>
        </w:numPr>
        <w:spacing w:line="360" w:lineRule="auto"/>
        <w:ind w:firstLineChars="0"/>
        <w:contextualSpacing/>
        <w:jc w:val="both"/>
        <w:rPr>
          <w:rFonts w:hint="eastAsia" w:ascii="宋体" w:hAnsi="宋体"/>
        </w:rPr>
      </w:pPr>
      <w:r>
        <w:rPr>
          <w:rFonts w:hint="eastAsia" w:ascii="宋体" w:hAnsi="宋体"/>
        </w:rPr>
        <w:t>调度系统集成CNC通讯功能，可以采集机床状态信息，可以给机床下发指令。</w:t>
      </w:r>
    </w:p>
    <w:p>
      <w:pPr>
        <w:pStyle w:val="44"/>
        <w:widowControl w:val="0"/>
        <w:numPr>
          <w:ilvl w:val="0"/>
          <w:numId w:val="3"/>
        </w:numPr>
        <w:spacing w:line="360" w:lineRule="auto"/>
        <w:ind w:firstLineChars="0"/>
        <w:contextualSpacing/>
        <w:jc w:val="both"/>
        <w:rPr>
          <w:rFonts w:hint="eastAsia" w:ascii="宋体" w:hAnsi="宋体"/>
        </w:rPr>
      </w:pPr>
      <w:r>
        <w:rPr>
          <w:rFonts w:hint="eastAsia" w:ascii="宋体" w:hAnsi="宋体"/>
        </w:rPr>
        <w:t>系统软件保证至少10年使用年限且完全开放不加密。10年内如需系统升降服务，免费提供。</w:t>
      </w:r>
    </w:p>
    <w:p>
      <w:pPr>
        <w:pStyle w:val="8"/>
        <w:rPr>
          <w:rFonts w:hint="eastAsia"/>
          <w:lang w:val="en-US" w:eastAsia="zh-CN"/>
        </w:rPr>
      </w:pPr>
      <w:r>
        <w:rPr>
          <w:rFonts w:hint="eastAsia"/>
          <w:lang w:val="en-US" w:eastAsia="zh-CN"/>
        </w:rPr>
        <w:t>1.3.2.2AGV改造内容及要求</w:t>
      </w:r>
    </w:p>
    <w:p>
      <w:pPr>
        <w:pStyle w:val="44"/>
        <w:widowControl w:val="0"/>
        <w:numPr>
          <w:ilvl w:val="0"/>
          <w:numId w:val="0"/>
        </w:numPr>
        <w:spacing w:line="360" w:lineRule="auto"/>
        <w:ind w:left="360" w:leftChars="0" w:hanging="360" w:firstLineChars="0"/>
        <w:contextualSpacing/>
        <w:jc w:val="both"/>
        <w:rPr>
          <w:rFonts w:hint="eastAsia" w:ascii="宋体" w:hAnsi="宋体"/>
        </w:rPr>
      </w:pPr>
      <w:r>
        <w:rPr>
          <w:rFonts w:hint="default" w:ascii="宋体" w:hAnsi="宋体" w:eastAsia="宋体" w:cs="Times New Roman"/>
          <w:kern w:val="2"/>
          <w:sz w:val="21"/>
          <w:szCs w:val="22"/>
          <w:lang w:val="en-US" w:eastAsia="zh-CN" w:bidi="ar-SA"/>
        </w:rPr>
        <w:t>1）</w:t>
      </w:r>
      <w:r>
        <w:rPr>
          <w:rFonts w:hint="eastAsia" w:ascii="宋体" w:hAnsi="宋体"/>
        </w:rPr>
        <w:t>AGV使用刀具超市复合AGV，三菱工业机器人，机器人负载20KG。</w:t>
      </w:r>
    </w:p>
    <w:p>
      <w:pPr>
        <w:pStyle w:val="44"/>
        <w:widowControl w:val="0"/>
        <w:numPr>
          <w:ilvl w:val="0"/>
          <w:numId w:val="0"/>
        </w:numPr>
        <w:spacing w:line="360" w:lineRule="auto"/>
        <w:ind w:left="360" w:leftChars="0" w:hanging="360" w:firstLineChars="0"/>
        <w:contextualSpacing/>
        <w:jc w:val="both"/>
        <w:rPr>
          <w:rFonts w:hint="eastAsia" w:ascii="宋体" w:hAnsi="宋体"/>
        </w:rPr>
      </w:pPr>
      <w:r>
        <w:rPr>
          <w:rFonts w:hint="default" w:ascii="宋体" w:hAnsi="宋体" w:eastAsia="宋体" w:cs="Times New Roman"/>
          <w:kern w:val="2"/>
          <w:sz w:val="21"/>
          <w:szCs w:val="22"/>
          <w:lang w:val="en-US" w:eastAsia="zh-CN" w:bidi="ar-SA"/>
        </w:rPr>
        <w:t>2）</w:t>
      </w:r>
      <w:r>
        <w:rPr>
          <w:rFonts w:hint="eastAsia" w:ascii="宋体" w:hAnsi="宋体"/>
        </w:rPr>
        <w:t>使用3D相机替换现有2D相机，保证定位精度。采用3D相机方案，3D相机识别标定块进行定位，获取空间上的位置姿态信息，通过坐标系变换，进行纠偏，相机定位精度在±0.2mm左右，光照、环境影响小。工件抓手重新设计，拆除原有相机及控制器，车内新增3D相机控制器，预留出空间。</w:t>
      </w:r>
    </w:p>
    <w:p>
      <w:pPr>
        <w:pStyle w:val="44"/>
        <w:widowControl w:val="0"/>
        <w:numPr>
          <w:ilvl w:val="0"/>
          <w:numId w:val="0"/>
        </w:numPr>
        <w:spacing w:line="360" w:lineRule="auto"/>
        <w:ind w:left="360" w:leftChars="0" w:hanging="360" w:firstLineChars="0"/>
        <w:contextualSpacing/>
        <w:jc w:val="both"/>
        <w:rPr>
          <w:rFonts w:hint="eastAsia" w:ascii="宋体" w:hAnsi="宋体"/>
        </w:rPr>
      </w:pPr>
      <w:r>
        <w:rPr>
          <w:rFonts w:hint="default" w:ascii="宋体" w:hAnsi="宋体" w:eastAsia="宋体" w:cs="Times New Roman"/>
          <w:kern w:val="2"/>
          <w:sz w:val="21"/>
          <w:szCs w:val="22"/>
          <w:lang w:val="en-US" w:eastAsia="zh-CN" w:bidi="ar-SA"/>
        </w:rPr>
        <w:t>3）</w:t>
      </w:r>
      <w:r>
        <w:rPr>
          <w:rFonts w:hint="eastAsia" w:ascii="宋体" w:hAnsi="宋体"/>
        </w:rPr>
        <w:t>AGV车内新增光通讯模块，用于与机床进行动作交互</w:t>
      </w:r>
      <w:r>
        <w:rPr>
          <w:rFonts w:hint="eastAsia" w:ascii="宋体" w:hAnsi="宋体"/>
          <w:lang w:eastAsia="zh-CN"/>
        </w:rPr>
        <w:t>，</w:t>
      </w:r>
      <w:r>
        <w:rPr>
          <w:rFonts w:hint="eastAsia" w:ascii="宋体" w:hAnsi="宋体"/>
        </w:rPr>
        <w:t>保证通讯稳定性。</w:t>
      </w:r>
    </w:p>
    <w:p>
      <w:pPr>
        <w:pStyle w:val="44"/>
        <w:widowControl w:val="0"/>
        <w:numPr>
          <w:ilvl w:val="0"/>
          <w:numId w:val="0"/>
        </w:numPr>
        <w:spacing w:line="360" w:lineRule="auto"/>
        <w:ind w:left="360" w:leftChars="0" w:hanging="360" w:firstLineChars="0"/>
        <w:contextualSpacing/>
        <w:jc w:val="both"/>
        <w:rPr>
          <w:rFonts w:hint="eastAsia" w:ascii="宋体" w:hAnsi="宋体"/>
        </w:rPr>
      </w:pPr>
      <w:r>
        <w:rPr>
          <w:rFonts w:hint="eastAsia" w:ascii="宋体" w:hAnsi="宋体" w:cstheme="minorBidi"/>
          <w:kern w:val="2"/>
          <w:sz w:val="21"/>
          <w:szCs w:val="22"/>
          <w:lang w:val="en-US" w:eastAsia="zh-CN" w:bidi="ar-SA"/>
        </w:rPr>
        <w:t>4</w:t>
      </w:r>
      <w:r>
        <w:rPr>
          <w:rFonts w:hint="eastAsia" w:ascii="宋体" w:hAnsi="宋体" w:eastAsia="宋体" w:cstheme="minorBidi"/>
          <w:kern w:val="2"/>
          <w:sz w:val="21"/>
          <w:szCs w:val="22"/>
          <w:lang w:val="en-US" w:eastAsia="zh-CN" w:bidi="ar-SA"/>
        </w:rPr>
        <w:t>）</w:t>
      </w:r>
      <w:r>
        <w:rPr>
          <w:rFonts w:hint="eastAsia" w:ascii="宋体" w:hAnsi="宋体"/>
        </w:rPr>
        <w:t>安全问题：AGV发现人员及时停止。AGV配置360°安全防护功能，保证AGV作业时安全防护范围内出现“障碍物”时及时停止，确保人员安全。</w:t>
      </w:r>
    </w:p>
    <w:p>
      <w:pPr>
        <w:pStyle w:val="44"/>
        <w:widowControl w:val="0"/>
        <w:numPr>
          <w:ilvl w:val="0"/>
          <w:numId w:val="0"/>
        </w:numPr>
        <w:spacing w:line="360" w:lineRule="auto"/>
        <w:ind w:left="360" w:leftChars="0" w:hanging="360" w:firstLineChars="0"/>
        <w:contextualSpacing/>
        <w:jc w:val="both"/>
        <w:rPr>
          <w:rFonts w:hint="eastAsia" w:ascii="宋体" w:hAnsi="宋体"/>
          <w:lang w:val="en-US" w:eastAsia="zh-CN"/>
        </w:rPr>
      </w:pPr>
      <w:r>
        <w:rPr>
          <w:rFonts w:hint="eastAsia" w:ascii="宋体" w:hAnsi="宋体" w:cs="Times New Roman"/>
          <w:kern w:val="2"/>
          <w:sz w:val="21"/>
          <w:szCs w:val="22"/>
          <w:lang w:val="en-US" w:eastAsia="zh-CN" w:bidi="ar-SA"/>
        </w:rPr>
        <w:t>5</w:t>
      </w:r>
      <w:r>
        <w:rPr>
          <w:rFonts w:hint="default" w:ascii="宋体" w:hAnsi="宋体" w:eastAsia="宋体" w:cs="Times New Roman"/>
          <w:kern w:val="2"/>
          <w:sz w:val="21"/>
          <w:szCs w:val="22"/>
          <w:lang w:val="en-US" w:eastAsia="zh-CN" w:bidi="ar-SA"/>
        </w:rPr>
        <w:t>）</w:t>
      </w:r>
      <w:r>
        <w:rPr>
          <w:rFonts w:hint="eastAsia" w:ascii="宋体" w:hAnsi="宋体"/>
        </w:rPr>
        <w:t>AGV运行区域标识增加</w:t>
      </w:r>
      <w:r>
        <w:rPr>
          <w:rFonts w:hint="eastAsia" w:ascii="宋体" w:hAnsi="宋体"/>
          <w:lang w:eastAsia="zh-CN"/>
        </w:rPr>
        <w:t>：</w:t>
      </w:r>
      <w:r>
        <w:rPr>
          <w:rFonts w:hint="eastAsia" w:ascii="宋体" w:hAnsi="宋体"/>
          <w:lang w:val="en-US" w:eastAsia="zh-CN"/>
        </w:rPr>
        <w:t>对AGV运行区域进行专项标识（可采用现场底面涂漆区分方式），明确提示AGV工作区域，人员注意安全。</w:t>
      </w:r>
    </w:p>
    <w:p>
      <w:pPr>
        <w:pStyle w:val="44"/>
        <w:widowControl w:val="0"/>
        <w:numPr>
          <w:ilvl w:val="0"/>
          <w:numId w:val="0"/>
        </w:numPr>
        <w:spacing w:line="360" w:lineRule="auto"/>
        <w:ind w:left="360" w:leftChars="0" w:hanging="360" w:firstLineChars="0"/>
        <w:contextualSpacing/>
        <w:jc w:val="both"/>
        <w:rPr>
          <w:rFonts w:hint="eastAsia" w:ascii="宋体" w:hAnsi="宋体"/>
          <w:lang w:val="en-US" w:eastAsia="zh-CN"/>
        </w:rPr>
      </w:pPr>
      <w:r>
        <w:rPr>
          <w:rFonts w:hint="eastAsia" w:ascii="宋体" w:hAnsi="宋体"/>
          <w:lang w:val="en-US" w:eastAsia="zh-CN"/>
        </w:rPr>
        <w:t>1.3.2.3机床改造内容及技术要求</w:t>
      </w:r>
    </w:p>
    <w:p>
      <w:pPr>
        <w:pStyle w:val="44"/>
        <w:widowControl w:val="0"/>
        <w:numPr>
          <w:ilvl w:val="0"/>
          <w:numId w:val="4"/>
        </w:numPr>
        <w:spacing w:line="360" w:lineRule="auto"/>
        <w:ind w:firstLineChars="0"/>
        <w:contextualSpacing/>
        <w:jc w:val="both"/>
        <w:rPr>
          <w:rFonts w:hint="eastAsia" w:ascii="宋体" w:hAnsi="宋体"/>
        </w:rPr>
      </w:pPr>
      <w:r>
        <w:rPr>
          <w:rFonts w:hint="eastAsia" w:ascii="宋体" w:hAnsi="宋体"/>
        </w:rPr>
        <w:t>增加光通讯模块，与AGV通讯。</w:t>
      </w:r>
    </w:p>
    <w:p>
      <w:pPr>
        <w:pStyle w:val="44"/>
        <w:widowControl w:val="0"/>
        <w:numPr>
          <w:ilvl w:val="0"/>
          <w:numId w:val="0"/>
        </w:numPr>
        <w:spacing w:line="360" w:lineRule="auto"/>
        <w:ind w:leftChars="0"/>
        <w:contextualSpacing/>
        <w:jc w:val="left"/>
        <w:rPr>
          <w:rFonts w:hint="eastAsia" w:ascii="宋体" w:hAnsi="宋体"/>
        </w:rPr>
      </w:pPr>
      <w:r>
        <w:drawing>
          <wp:inline distT="0" distB="0" distL="0" distR="0">
            <wp:extent cx="1320165" cy="373189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1320165" cy="3731895"/>
                    </a:xfrm>
                    <a:prstGeom prst="rect">
                      <a:avLst/>
                    </a:prstGeom>
                  </pic:spPr>
                </pic:pic>
              </a:graphicData>
            </a:graphic>
          </wp:inline>
        </w:drawing>
      </w:r>
      <w:r>
        <w:drawing>
          <wp:inline distT="0" distB="0" distL="0" distR="0">
            <wp:extent cx="2657475" cy="244411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1"/>
                    <a:stretch>
                      <a:fillRect/>
                    </a:stretch>
                  </pic:blipFill>
                  <pic:spPr>
                    <a:xfrm>
                      <a:off x="0" y="0"/>
                      <a:ext cx="2657475" cy="2444115"/>
                    </a:xfrm>
                    <a:prstGeom prst="rect">
                      <a:avLst/>
                    </a:prstGeom>
                  </pic:spPr>
                </pic:pic>
              </a:graphicData>
            </a:graphic>
          </wp:inline>
        </w:drawing>
      </w:r>
      <w:r>
        <w:drawing>
          <wp:inline distT="0" distB="0" distL="0" distR="0">
            <wp:extent cx="1617980" cy="3478530"/>
            <wp:effectExtent l="0" t="0" r="1270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2"/>
                    <a:stretch>
                      <a:fillRect/>
                    </a:stretch>
                  </pic:blipFill>
                  <pic:spPr>
                    <a:xfrm>
                      <a:off x="0" y="0"/>
                      <a:ext cx="1617980" cy="3478530"/>
                    </a:xfrm>
                    <a:prstGeom prst="rect">
                      <a:avLst/>
                    </a:prstGeom>
                  </pic:spPr>
                </pic:pic>
              </a:graphicData>
            </a:graphic>
          </wp:inline>
        </w:drawing>
      </w:r>
    </w:p>
    <w:p>
      <w:pPr>
        <w:pStyle w:val="44"/>
        <w:widowControl w:val="0"/>
        <w:numPr>
          <w:ilvl w:val="0"/>
          <w:numId w:val="4"/>
        </w:numPr>
        <w:spacing w:line="360" w:lineRule="auto"/>
        <w:ind w:firstLineChars="0"/>
        <w:contextualSpacing/>
        <w:jc w:val="both"/>
        <w:rPr>
          <w:rFonts w:hint="eastAsia" w:ascii="宋体" w:hAnsi="宋体" w:eastAsia="宋体"/>
          <w:sz w:val="24"/>
          <w:szCs w:val="24"/>
          <w:highlight w:val="none"/>
        </w:rPr>
      </w:pPr>
      <w:r>
        <w:rPr>
          <w:rFonts w:hint="eastAsia" w:ascii="宋体" w:hAnsi="宋体"/>
          <w:highlight w:val="none"/>
        </w:rPr>
        <w:t>增加调刀、换刀等程序功能。HELLER工程师协助完成NC、PLC程序更改及验</w:t>
      </w:r>
      <w:r>
        <w:rPr>
          <w:rFonts w:hint="eastAsia" w:ascii="宋体" w:hAnsi="宋体" w:eastAsia="宋体"/>
          <w:sz w:val="24"/>
          <w:szCs w:val="24"/>
          <w:highlight w:val="none"/>
        </w:rPr>
        <w:t>证。</w:t>
      </w:r>
    </w:p>
    <w:p>
      <w:pPr>
        <w:pStyle w:val="44"/>
        <w:widowControl w:val="0"/>
        <w:numPr>
          <w:ilvl w:val="0"/>
          <w:numId w:val="4"/>
        </w:numPr>
        <w:spacing w:line="360" w:lineRule="auto"/>
        <w:ind w:firstLineChars="0"/>
        <w:contextualSpacing/>
        <w:jc w:val="both"/>
        <w:rPr>
          <w:rFonts w:hint="eastAsia" w:ascii="宋体" w:hAnsi="宋体"/>
        </w:rPr>
      </w:pPr>
      <w:r>
        <w:rPr>
          <w:rFonts w:hint="eastAsia" w:ascii="宋体" w:hAnsi="宋体"/>
        </w:rPr>
        <w:t>机械相关改造。</w:t>
      </w:r>
    </w:p>
    <w:p>
      <w:pPr>
        <w:pStyle w:val="44"/>
        <w:numPr>
          <w:ilvl w:val="0"/>
          <w:numId w:val="5"/>
        </w:numPr>
        <w:spacing w:line="360" w:lineRule="auto"/>
        <w:ind w:firstLineChars="0"/>
        <w:contextualSpacing/>
        <w:rPr>
          <w:rFonts w:hint="eastAsia" w:ascii="宋体" w:hAnsi="宋体"/>
          <w:highlight w:val="none"/>
        </w:rPr>
      </w:pPr>
      <w:r>
        <w:rPr>
          <w:rFonts w:hint="eastAsia" w:ascii="宋体" w:hAnsi="宋体"/>
          <w:highlight w:val="none"/>
        </w:rPr>
        <w:t>换刀门改造：</w:t>
      </w:r>
    </w:p>
    <w:p>
      <w:pPr>
        <w:pStyle w:val="44"/>
        <w:numPr>
          <w:ilvl w:val="0"/>
          <w:numId w:val="6"/>
        </w:numPr>
        <w:spacing w:line="360" w:lineRule="auto"/>
        <w:ind w:firstLineChars="0"/>
        <w:contextualSpacing/>
        <w:rPr>
          <w:rFonts w:hint="eastAsia" w:ascii="宋体" w:hAnsi="宋体" w:eastAsia="宋体"/>
          <w:sz w:val="24"/>
          <w:szCs w:val="24"/>
          <w:highlight w:val="none"/>
        </w:rPr>
      </w:pPr>
      <w:r>
        <w:rPr>
          <w:rFonts w:hint="eastAsia" w:ascii="宋体" w:hAnsi="宋体"/>
          <w:highlight w:val="none"/>
        </w:rPr>
        <w:t>门行程</w:t>
      </w:r>
      <w:r>
        <w:rPr>
          <w:rFonts w:ascii="宋体" w:hAnsi="宋体"/>
          <w:highlight w:val="none"/>
        </w:rPr>
        <w:t>560mm</w:t>
      </w:r>
      <w:r>
        <w:rPr>
          <w:rFonts w:hint="eastAsia" w:ascii="宋体" w:hAnsi="宋体"/>
          <w:highlight w:val="none"/>
        </w:rPr>
        <w:t>，选用</w:t>
      </w:r>
      <w:r>
        <w:rPr>
          <w:rFonts w:hint="eastAsia" w:ascii="宋体" w:hAnsi="宋体"/>
          <w:highlight w:val="none"/>
          <w:lang w:val="en-US" w:eastAsia="zh-CN"/>
        </w:rPr>
        <w:t>直径</w:t>
      </w:r>
      <w:r>
        <w:rPr>
          <w:rFonts w:ascii="宋体" w:hAnsi="宋体"/>
          <w:highlight w:val="none"/>
        </w:rPr>
        <w:t>25</w:t>
      </w:r>
      <w:r>
        <w:rPr>
          <w:rFonts w:hint="eastAsia" w:ascii="宋体" w:hAnsi="宋体"/>
          <w:highlight w:val="none"/>
          <w:lang w:val="en-US" w:eastAsia="zh-CN"/>
        </w:rPr>
        <w:t>MM</w:t>
      </w:r>
      <w:r>
        <w:rPr>
          <w:rFonts w:hint="eastAsia" w:ascii="宋体" w:hAnsi="宋体"/>
          <w:highlight w:val="none"/>
        </w:rPr>
        <w:t>气缸，输出力约</w:t>
      </w:r>
      <w:r>
        <w:rPr>
          <w:rFonts w:ascii="宋体" w:hAnsi="宋体"/>
          <w:highlight w:val="none"/>
        </w:rPr>
        <w:t>20kg</w:t>
      </w:r>
      <w:r>
        <w:rPr>
          <w:rFonts w:hint="eastAsia" w:ascii="宋体" w:hAnsi="宋体"/>
          <w:highlight w:val="none"/>
        </w:rPr>
        <w:t>（后续可调整更换20气缸，输出力约15kg）</w:t>
      </w:r>
      <w:r>
        <w:rPr>
          <w:rFonts w:hint="eastAsia" w:ascii="宋体" w:hAnsi="宋体" w:eastAsia="宋体"/>
          <w:sz w:val="24"/>
          <w:szCs w:val="24"/>
          <w:highlight w:val="none"/>
        </w:rPr>
        <w:t>。</w:t>
      </w:r>
    </w:p>
    <w:p>
      <w:pPr>
        <w:pStyle w:val="44"/>
        <w:numPr>
          <w:ilvl w:val="0"/>
          <w:numId w:val="6"/>
        </w:numPr>
        <w:spacing w:line="360" w:lineRule="auto"/>
        <w:ind w:firstLineChars="0"/>
        <w:contextualSpacing/>
        <w:rPr>
          <w:rFonts w:hint="eastAsia" w:ascii="宋体" w:hAnsi="宋体"/>
          <w:highlight w:val="none"/>
        </w:rPr>
      </w:pPr>
      <w:r>
        <w:rPr>
          <w:rFonts w:hint="eastAsia" w:ascii="宋体" w:hAnsi="宋体"/>
          <w:highlight w:val="none"/>
        </w:rPr>
        <w:t>安装位置：门与配重块重量相等，门可悬停在中间位置，将气缸安装在机</w:t>
      </w:r>
      <w:r>
        <w:rPr>
          <w:rFonts w:hint="eastAsia" w:ascii="宋体" w:hAnsi="宋体" w:eastAsia="宋体"/>
          <w:sz w:val="24"/>
          <w:szCs w:val="24"/>
          <w:highlight w:val="none"/>
        </w:rPr>
        <w:t>床防护配重块底部，需</w:t>
      </w:r>
      <w:r>
        <w:rPr>
          <w:rFonts w:hint="eastAsia" w:ascii="宋体" w:hAnsi="宋体"/>
          <w:highlight w:val="none"/>
        </w:rPr>
        <w:t>要切割配重块护罩，在配重块上配孔，与气缸连接，气缸驱动配重块升降，从而控制门升降，气缸隐藏效果好，安装美观。</w:t>
      </w:r>
    </w:p>
    <w:p>
      <w:pPr>
        <w:pStyle w:val="44"/>
        <w:numPr>
          <w:ilvl w:val="0"/>
          <w:numId w:val="6"/>
        </w:numPr>
        <w:spacing w:line="360" w:lineRule="auto"/>
        <w:ind w:firstLineChars="0"/>
        <w:contextualSpacing/>
        <w:rPr>
          <w:rFonts w:hint="eastAsia" w:ascii="宋体" w:hAnsi="宋体" w:eastAsia="宋体"/>
          <w:sz w:val="24"/>
          <w:szCs w:val="24"/>
          <w:highlight w:val="none"/>
        </w:rPr>
      </w:pPr>
      <w:r>
        <w:rPr>
          <w:rFonts w:hint="eastAsia" w:ascii="宋体" w:hAnsi="宋体"/>
          <w:highlight w:val="none"/>
        </w:rPr>
        <w:t>气动控制选用中泄阀，保留人工操作功能。人工操作时会有阻力。气缸选</w:t>
      </w:r>
      <w:r>
        <w:rPr>
          <w:rFonts w:hint="eastAsia" w:ascii="宋体" w:hAnsi="宋体" w:eastAsia="宋体" w:cs="Times New Roman"/>
          <w:kern w:val="2"/>
          <w:sz w:val="21"/>
          <w:szCs w:val="22"/>
          <w:highlight w:val="none"/>
          <w:lang w:val="en-US" w:eastAsia="zh-CN" w:bidi="ar-SA"/>
        </w:rPr>
        <w:t>用进气节流阀（防止突然大量进气不稳定）。气缸和门安全锁需要做互锁。</w:t>
      </w:r>
    </w:p>
    <w:p>
      <w:pPr>
        <w:pStyle w:val="44"/>
        <w:numPr>
          <w:ilvl w:val="0"/>
          <w:numId w:val="5"/>
        </w:numPr>
        <w:spacing w:line="360" w:lineRule="auto"/>
        <w:ind w:firstLineChars="0"/>
        <w:contextualSpacing/>
        <w:rPr>
          <w:rFonts w:hint="eastAsia" w:ascii="宋体" w:hAnsi="宋体"/>
          <w:highlight w:val="none"/>
        </w:rPr>
      </w:pPr>
      <w:r>
        <w:rPr>
          <w:rFonts w:hint="eastAsia" w:ascii="宋体" w:hAnsi="宋体"/>
          <w:highlight w:val="none"/>
        </w:rPr>
        <w:t>摆杆</w:t>
      </w:r>
      <w:r>
        <w:rPr>
          <w:rFonts w:hint="eastAsia" w:ascii="宋体" w:hAnsi="宋体" w:cstheme="minorBidi"/>
          <w:kern w:val="2"/>
          <w:highlight w:val="none"/>
        </w:rPr>
        <w:t>改造：</w:t>
      </w:r>
    </w:p>
    <w:p>
      <w:pPr>
        <w:pStyle w:val="44"/>
        <w:numPr>
          <w:ilvl w:val="0"/>
          <w:numId w:val="6"/>
        </w:numPr>
        <w:spacing w:line="360" w:lineRule="auto"/>
        <w:ind w:firstLineChars="0"/>
        <w:contextualSpacing/>
        <w:rPr>
          <w:rFonts w:hint="eastAsia" w:ascii="宋体" w:hAnsi="宋体"/>
          <w:highlight w:val="none"/>
        </w:rPr>
      </w:pPr>
      <w:r>
        <w:rPr>
          <w:rFonts w:hint="eastAsia" w:ascii="宋体" w:hAnsi="宋体"/>
          <w:highlight w:val="none"/>
        </w:rPr>
        <w:t>摆杆行程</w:t>
      </w:r>
      <w:r>
        <w:rPr>
          <w:rFonts w:ascii="宋体" w:hAnsi="宋体"/>
          <w:highlight w:val="none"/>
        </w:rPr>
        <w:t>40mm</w:t>
      </w:r>
      <w:r>
        <w:rPr>
          <w:rFonts w:hint="eastAsia" w:ascii="宋体" w:hAnsi="宋体"/>
          <w:highlight w:val="none"/>
        </w:rPr>
        <w:t>，气缸高</w:t>
      </w:r>
      <w:r>
        <w:rPr>
          <w:rFonts w:ascii="宋体" w:hAnsi="宋体"/>
          <w:highlight w:val="none"/>
        </w:rPr>
        <w:t>87mm</w:t>
      </w:r>
      <w:r>
        <w:rPr>
          <w:rFonts w:ascii="宋体" w:hAnsi="宋体"/>
          <w:b/>
          <w:bCs/>
          <w:highlight w:val="none"/>
        </w:rPr>
        <w:t>,</w:t>
      </w:r>
      <w:r>
        <w:rPr>
          <w:rFonts w:hint="eastAsia" w:ascii="宋体" w:hAnsi="宋体"/>
          <w:highlight w:val="none"/>
        </w:rPr>
        <w:t>选用</w:t>
      </w:r>
      <w:r>
        <w:rPr>
          <w:rFonts w:ascii="宋体" w:hAnsi="宋体"/>
          <w:highlight w:val="none"/>
        </w:rPr>
        <w:t>20</w:t>
      </w:r>
      <w:r>
        <w:rPr>
          <w:rFonts w:hint="eastAsia" w:ascii="宋体" w:hAnsi="宋体"/>
          <w:highlight w:val="none"/>
        </w:rPr>
        <w:t>气缸，输出力约</w:t>
      </w:r>
      <w:r>
        <w:rPr>
          <w:rFonts w:ascii="宋体" w:hAnsi="宋体"/>
          <w:highlight w:val="none"/>
        </w:rPr>
        <w:t>15kg</w:t>
      </w:r>
      <w:r>
        <w:rPr>
          <w:rFonts w:hint="eastAsia" w:ascii="宋体" w:hAnsi="宋体"/>
          <w:highlight w:val="none"/>
        </w:rPr>
        <w:t>。</w:t>
      </w:r>
    </w:p>
    <w:p>
      <w:pPr>
        <w:pStyle w:val="44"/>
        <w:numPr>
          <w:ilvl w:val="0"/>
          <w:numId w:val="6"/>
        </w:numPr>
        <w:spacing w:line="360" w:lineRule="auto"/>
        <w:ind w:firstLineChars="0"/>
        <w:contextualSpacing/>
        <w:rPr>
          <w:rFonts w:hint="eastAsia" w:ascii="宋体" w:hAnsi="宋体"/>
          <w:highlight w:val="none"/>
        </w:rPr>
      </w:pPr>
      <w:r>
        <w:rPr>
          <w:rFonts w:hint="eastAsia" w:ascii="宋体" w:hAnsi="宋体"/>
          <w:highlight w:val="none"/>
        </w:rPr>
        <w:t>导轨气缸前端配置强磁铁，用于上位回位时拉力。</w:t>
      </w:r>
    </w:p>
    <w:p>
      <w:pPr>
        <w:pStyle w:val="44"/>
        <w:numPr>
          <w:ilvl w:val="0"/>
          <w:numId w:val="6"/>
        </w:numPr>
        <w:spacing w:line="360" w:lineRule="auto"/>
        <w:ind w:firstLineChars="0"/>
        <w:contextualSpacing/>
        <w:rPr>
          <w:rFonts w:hint="eastAsia" w:ascii="宋体" w:hAnsi="宋体"/>
          <w:highlight w:val="none"/>
        </w:rPr>
      </w:pPr>
      <w:r>
        <w:rPr>
          <w:rFonts w:hint="eastAsia" w:ascii="宋体" w:hAnsi="宋体"/>
          <w:highlight w:val="none"/>
        </w:rPr>
        <w:t>气缸选用排气节流阀，上电后当前位置充气保压，防止启用时速度过快。</w:t>
      </w:r>
    </w:p>
    <w:p>
      <w:pPr>
        <w:pStyle w:val="44"/>
        <w:numPr>
          <w:ilvl w:val="0"/>
          <w:numId w:val="6"/>
        </w:numPr>
        <w:spacing w:line="360" w:lineRule="auto"/>
        <w:ind w:firstLineChars="0"/>
        <w:contextualSpacing/>
        <w:rPr>
          <w:rFonts w:hint="eastAsia" w:ascii="宋体" w:hAnsi="宋体"/>
          <w:highlight w:val="none"/>
        </w:rPr>
      </w:pPr>
      <w:r>
        <w:rPr>
          <w:rFonts w:hint="eastAsia" w:ascii="宋体" w:hAnsi="宋体"/>
          <w:highlight w:val="none"/>
        </w:rPr>
        <w:t>气缸与摆杆无连接保证了手动状态的使用。</w:t>
      </w:r>
    </w:p>
    <w:p>
      <w:pPr>
        <w:pStyle w:val="44"/>
        <w:numPr>
          <w:ilvl w:val="0"/>
          <w:numId w:val="5"/>
        </w:numPr>
        <w:spacing w:line="360" w:lineRule="auto"/>
        <w:ind w:firstLineChars="0"/>
        <w:contextualSpacing/>
        <w:rPr>
          <w:rFonts w:hint="eastAsia" w:ascii="宋体" w:hAnsi="宋体"/>
          <w:highlight w:val="none"/>
        </w:rPr>
      </w:pPr>
      <w:r>
        <w:rPr>
          <w:rFonts w:hint="eastAsia" w:ascii="宋体" w:hAnsi="宋体"/>
          <w:highlight w:val="none"/>
        </w:rPr>
        <w:t>拉刀</w:t>
      </w:r>
      <w:r>
        <w:rPr>
          <w:rFonts w:hint="eastAsia" w:ascii="宋体" w:hAnsi="宋体" w:cstheme="minorBidi"/>
          <w:kern w:val="2"/>
          <w:highlight w:val="none"/>
        </w:rPr>
        <w:t>改造：</w:t>
      </w:r>
    </w:p>
    <w:p>
      <w:pPr>
        <w:pStyle w:val="44"/>
        <w:numPr>
          <w:ilvl w:val="0"/>
          <w:numId w:val="7"/>
        </w:numPr>
        <w:spacing w:line="360" w:lineRule="auto"/>
        <w:ind w:firstLineChars="0"/>
        <w:contextualSpacing/>
        <w:rPr>
          <w:rFonts w:hint="eastAsia" w:ascii="宋体" w:hAnsi="宋体"/>
          <w:highlight w:val="none"/>
        </w:rPr>
      </w:pPr>
      <w:r>
        <w:rPr>
          <w:rFonts w:hint="eastAsia" w:ascii="宋体" w:hAnsi="宋体"/>
          <w:highlight w:val="none"/>
        </w:rPr>
        <w:t>拉刀行程</w:t>
      </w:r>
      <w:r>
        <w:rPr>
          <w:rFonts w:ascii="宋体" w:hAnsi="宋体"/>
          <w:highlight w:val="none"/>
        </w:rPr>
        <w:t>70mm</w:t>
      </w:r>
      <w:r>
        <w:rPr>
          <w:rFonts w:hint="eastAsia" w:ascii="宋体" w:hAnsi="宋体"/>
          <w:highlight w:val="none"/>
        </w:rPr>
        <w:t>，选用</w:t>
      </w:r>
      <w:r>
        <w:rPr>
          <w:rFonts w:ascii="宋体" w:hAnsi="宋体"/>
          <w:highlight w:val="none"/>
        </w:rPr>
        <w:t>32</w:t>
      </w:r>
      <w:r>
        <w:rPr>
          <w:rFonts w:hint="eastAsia" w:ascii="宋体" w:hAnsi="宋体"/>
          <w:highlight w:val="none"/>
        </w:rPr>
        <w:t>气缸，输出力约</w:t>
      </w:r>
      <w:r>
        <w:rPr>
          <w:rFonts w:ascii="宋体" w:hAnsi="宋体"/>
          <w:highlight w:val="none"/>
        </w:rPr>
        <w:t>32kg</w:t>
      </w:r>
      <w:r>
        <w:rPr>
          <w:rFonts w:hint="eastAsia" w:ascii="宋体" w:hAnsi="宋体"/>
          <w:highlight w:val="none"/>
        </w:rPr>
        <w:t>。</w:t>
      </w:r>
    </w:p>
    <w:p>
      <w:pPr>
        <w:pStyle w:val="44"/>
        <w:numPr>
          <w:ilvl w:val="0"/>
          <w:numId w:val="7"/>
        </w:numPr>
        <w:spacing w:line="360" w:lineRule="auto"/>
        <w:ind w:firstLineChars="0"/>
        <w:contextualSpacing/>
        <w:rPr>
          <w:rFonts w:hint="eastAsia" w:ascii="宋体" w:hAnsi="宋体"/>
          <w:highlight w:val="none"/>
        </w:rPr>
      </w:pPr>
      <w:r>
        <w:rPr>
          <w:rFonts w:hint="eastAsia" w:ascii="宋体" w:hAnsi="宋体"/>
          <w:highlight w:val="none"/>
        </w:rPr>
        <w:t>由于刀库有盘铣刀（刀库盘铣刀直径大于刀柄最大直径），所以采用连杆结构实现拉刀动作。</w:t>
      </w:r>
    </w:p>
    <w:p>
      <w:pPr>
        <w:pStyle w:val="44"/>
        <w:numPr>
          <w:ilvl w:val="0"/>
          <w:numId w:val="7"/>
        </w:numPr>
        <w:spacing w:line="360" w:lineRule="auto"/>
        <w:ind w:firstLineChars="0"/>
        <w:contextualSpacing/>
        <w:rPr>
          <w:rFonts w:hint="eastAsia" w:ascii="宋体" w:hAnsi="宋体" w:eastAsia="宋体"/>
          <w:sz w:val="24"/>
          <w:szCs w:val="24"/>
          <w:highlight w:val="none"/>
        </w:rPr>
      </w:pPr>
      <w:r>
        <w:rPr>
          <w:rFonts w:hint="eastAsia" w:ascii="宋体" w:hAnsi="宋体"/>
          <w:highlight w:val="none"/>
        </w:rPr>
        <w:t>气动选用中泄阀和进气节流阀，保证手动状态下的操作（手动拉刀会比现在多一些气缸阻尼感）</w:t>
      </w:r>
      <w:r>
        <w:rPr>
          <w:rFonts w:hint="eastAsia" w:ascii="宋体" w:hAnsi="宋体" w:eastAsia="宋体"/>
          <w:sz w:val="24"/>
          <w:szCs w:val="24"/>
          <w:highlight w:val="none"/>
        </w:rPr>
        <w:t>。</w:t>
      </w:r>
    </w:p>
    <w:p>
      <w:pPr>
        <w:pStyle w:val="44"/>
        <w:numPr>
          <w:ilvl w:val="0"/>
          <w:numId w:val="7"/>
        </w:numPr>
        <w:spacing w:line="360" w:lineRule="auto"/>
        <w:ind w:firstLineChars="0"/>
        <w:contextualSpacing/>
        <w:rPr>
          <w:rFonts w:hint="eastAsia" w:ascii="宋体" w:hAnsi="宋体"/>
          <w:highlight w:val="none"/>
        </w:rPr>
      </w:pPr>
      <w:r>
        <w:rPr>
          <w:rFonts w:hint="eastAsia" w:ascii="宋体" w:hAnsi="宋体"/>
          <w:highlight w:val="none"/>
        </w:rPr>
        <w:t>拉刀缸和摆缸需要做互锁。</w:t>
      </w:r>
    </w:p>
    <w:p>
      <w:pPr>
        <w:pStyle w:val="44"/>
        <w:numPr>
          <w:ilvl w:val="0"/>
          <w:numId w:val="5"/>
        </w:numPr>
        <w:spacing w:line="360" w:lineRule="auto"/>
        <w:ind w:firstLineChars="0"/>
        <w:contextualSpacing/>
        <w:rPr>
          <w:rFonts w:hint="eastAsia" w:ascii="宋体" w:hAnsi="宋体"/>
          <w:highlight w:val="none"/>
        </w:rPr>
      </w:pPr>
      <w:r>
        <w:rPr>
          <w:rFonts w:hint="eastAsia" w:ascii="宋体" w:hAnsi="宋体"/>
          <w:highlight w:val="none"/>
        </w:rPr>
        <w:t>标靶</w:t>
      </w:r>
      <w:r>
        <w:rPr>
          <w:rFonts w:hint="eastAsia" w:ascii="宋体" w:hAnsi="宋体" w:cstheme="minorBidi"/>
          <w:kern w:val="2"/>
          <w:highlight w:val="none"/>
        </w:rPr>
        <w:t>及光通讯改造：</w:t>
      </w:r>
    </w:p>
    <w:p>
      <w:pPr>
        <w:pStyle w:val="44"/>
        <w:numPr>
          <w:ilvl w:val="0"/>
          <w:numId w:val="7"/>
        </w:numPr>
        <w:spacing w:line="360" w:lineRule="auto"/>
        <w:ind w:firstLineChars="0"/>
        <w:contextualSpacing/>
        <w:rPr>
          <w:rFonts w:hint="eastAsia" w:ascii="宋体" w:hAnsi="宋体"/>
          <w:highlight w:val="none"/>
        </w:rPr>
      </w:pPr>
      <w:r>
        <w:rPr>
          <w:rFonts w:hint="eastAsia" w:ascii="宋体" w:hAnsi="宋体"/>
          <w:highlight w:val="none"/>
        </w:rPr>
        <w:t>标靶支架安装在刀库横梁加强筋上，机床防护开洞，保证机床门正常开合。</w:t>
      </w:r>
    </w:p>
    <w:p>
      <w:pPr>
        <w:pStyle w:val="44"/>
        <w:numPr>
          <w:ilvl w:val="0"/>
          <w:numId w:val="7"/>
        </w:numPr>
        <w:spacing w:line="360" w:lineRule="auto"/>
        <w:ind w:firstLineChars="0"/>
        <w:contextualSpacing/>
        <w:rPr>
          <w:rFonts w:hint="eastAsia" w:ascii="宋体" w:hAnsi="宋体"/>
          <w:highlight w:val="none"/>
        </w:rPr>
      </w:pPr>
      <w:r>
        <w:rPr>
          <w:rFonts w:ascii="宋体" w:hAnsi="宋体"/>
          <w:highlight w:val="none"/>
        </w:rPr>
        <w:t>光通信安装在机床防</w:t>
      </w:r>
      <w:r>
        <w:rPr>
          <w:rFonts w:hint="eastAsia" w:ascii="宋体" w:hAnsi="宋体"/>
          <w:highlight w:val="none"/>
        </w:rPr>
        <w:t>护门上柱上，光通信通过快插接口可更换。</w:t>
      </w:r>
    </w:p>
    <w:p>
      <w:pPr>
        <w:pStyle w:val="44"/>
        <w:numPr>
          <w:ilvl w:val="0"/>
          <w:numId w:val="5"/>
        </w:numPr>
        <w:spacing w:line="360" w:lineRule="auto"/>
        <w:ind w:firstLineChars="0"/>
        <w:contextualSpacing/>
        <w:rPr>
          <w:rFonts w:hint="default"/>
          <w:lang w:val="en-US" w:eastAsia="zh-CN"/>
        </w:rPr>
      </w:pPr>
      <w:r>
        <w:rPr>
          <w:rFonts w:hint="eastAsia" w:ascii="宋体" w:hAnsi="宋体"/>
          <w:highlight w:val="none"/>
        </w:rPr>
        <w:t>机床防护</w:t>
      </w:r>
      <w:r>
        <w:rPr>
          <w:rFonts w:hint="eastAsia" w:ascii="宋体" w:hAnsi="宋体" w:cstheme="minorBidi"/>
          <w:kern w:val="2"/>
          <w:highlight w:val="none"/>
        </w:rPr>
        <w:t>适当位置，增加自动/手动功能转换操作盒。安装位置，便于人员作业</w:t>
      </w:r>
      <w:r>
        <w:rPr>
          <w:rFonts w:hint="eastAsia" w:ascii="宋体" w:hAnsi="宋体" w:eastAsia="宋体"/>
          <w:sz w:val="24"/>
          <w:szCs w:val="24"/>
          <w:highlight w:val="none"/>
        </w:rPr>
        <w:t>。</w:t>
      </w:r>
    </w:p>
    <w:p>
      <w:pPr>
        <w:pStyle w:val="44"/>
        <w:numPr>
          <w:ilvl w:val="0"/>
          <w:numId w:val="0"/>
        </w:numPr>
        <w:spacing w:line="360" w:lineRule="auto"/>
        <w:ind w:leftChars="0"/>
        <w:contextualSpacing/>
        <w:rPr>
          <w:rFonts w:hint="eastAsia" w:ascii="宋体" w:hAnsi="宋体"/>
          <w:sz w:val="21"/>
          <w:szCs w:val="21"/>
          <w:highlight w:val="none"/>
          <w:lang w:val="en-US" w:eastAsia="zh-CN"/>
        </w:rPr>
      </w:pPr>
      <w:r>
        <w:rPr>
          <w:rFonts w:hint="eastAsia" w:ascii="宋体" w:hAnsi="宋体"/>
          <w:sz w:val="21"/>
          <w:szCs w:val="21"/>
          <w:highlight w:val="none"/>
          <w:lang w:val="en-US" w:eastAsia="zh-CN"/>
        </w:rPr>
        <w:t>1.3.2.4备刀要求</w:t>
      </w:r>
    </w:p>
    <w:p>
      <w:pPr>
        <w:pStyle w:val="44"/>
        <w:numPr>
          <w:ilvl w:val="0"/>
          <w:numId w:val="0"/>
        </w:numPr>
        <w:spacing w:line="360" w:lineRule="auto"/>
        <w:ind w:leftChars="0"/>
        <w:contextualSpacing/>
        <w:rPr>
          <w:rFonts w:hint="default" w:ascii="宋体" w:hAnsi="宋体"/>
          <w:sz w:val="21"/>
          <w:szCs w:val="21"/>
          <w:highlight w:val="none"/>
          <w:lang w:val="en-US" w:eastAsia="zh-CN"/>
        </w:rPr>
      </w:pPr>
      <w:r>
        <w:rPr>
          <w:rFonts w:hint="eastAsia" w:ascii="宋体" w:hAnsi="宋体"/>
          <w:sz w:val="21"/>
          <w:szCs w:val="21"/>
          <w:highlight w:val="none"/>
          <w:lang w:val="en-US" w:eastAsia="zh-CN"/>
        </w:rPr>
        <w:t>线边库要求常备一套85-4备用刀，使用后，更换完新刀应及时补充至线边库。</w:t>
      </w:r>
    </w:p>
    <w:p>
      <w:pPr>
        <w:pStyle w:val="44"/>
        <w:numPr>
          <w:ilvl w:val="0"/>
          <w:numId w:val="0"/>
        </w:numPr>
        <w:spacing w:line="360" w:lineRule="auto"/>
        <w:ind w:leftChars="0"/>
        <w:contextualSpacing/>
        <w:rPr>
          <w:rFonts w:hint="default" w:ascii="宋体" w:hAnsi="宋体"/>
          <w:sz w:val="21"/>
          <w:szCs w:val="21"/>
          <w:highlight w:val="none"/>
          <w:lang w:val="en-US" w:eastAsia="zh-CN"/>
        </w:rPr>
      </w:pPr>
      <w:r>
        <w:rPr>
          <w:rFonts w:hint="eastAsia" w:ascii="宋体" w:hAnsi="宋体"/>
          <w:sz w:val="21"/>
          <w:szCs w:val="21"/>
          <w:highlight w:val="none"/>
          <w:lang w:val="en-US" w:eastAsia="zh-CN"/>
        </w:rPr>
        <w:t>1.3.2.5换刀条件</w:t>
      </w:r>
      <w:r>
        <w:rPr>
          <w:rFonts w:hint="eastAsia" w:ascii="宋体" w:hAnsi="宋体"/>
          <w:sz w:val="21"/>
          <w:szCs w:val="21"/>
          <w:highlight w:val="none"/>
          <w:lang w:val="en-US" w:eastAsia="zh-CN"/>
        </w:rPr>
        <w:tab/>
      </w:r>
    </w:p>
    <w:p>
      <w:pPr>
        <w:spacing w:line="360" w:lineRule="auto"/>
        <w:rPr>
          <w:rFonts w:hint="eastAsia" w:ascii="宋体" w:hAnsi="宋体" w:eastAsia="宋体"/>
          <w:sz w:val="21"/>
          <w:szCs w:val="21"/>
        </w:rPr>
      </w:pPr>
      <w:r>
        <w:rPr>
          <w:rFonts w:hint="eastAsia" w:ascii="宋体" w:hAnsi="宋体" w:eastAsia="宋体"/>
          <w:sz w:val="21"/>
          <w:szCs w:val="21"/>
        </w:rPr>
        <w:t>1）刀具寿命达到指定设定值。</w:t>
      </w:r>
    </w:p>
    <w:p>
      <w:pPr>
        <w:pStyle w:val="44"/>
        <w:numPr>
          <w:ilvl w:val="0"/>
          <w:numId w:val="0"/>
        </w:numPr>
        <w:spacing w:line="360" w:lineRule="auto"/>
        <w:ind w:leftChars="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如刀具有多个寿命，取最小寿命值。</w:t>
      </w:r>
    </w:p>
    <w:p>
      <w:pPr>
        <w:spacing w:line="360" w:lineRule="auto"/>
        <w:contextualSpacing/>
        <w:rPr>
          <w:rFonts w:hint="default" w:ascii="宋体" w:hAnsi="宋体"/>
          <w:sz w:val="21"/>
          <w:szCs w:val="21"/>
          <w:highlight w:val="none"/>
          <w:lang w:val="en-US" w:eastAsia="zh-CN"/>
        </w:rPr>
      </w:pPr>
      <w:r>
        <w:rPr>
          <w:rFonts w:hint="eastAsia" w:ascii="宋体" w:hAnsi="宋体" w:eastAsia="宋体"/>
          <w:sz w:val="21"/>
          <w:szCs w:val="21"/>
        </w:rPr>
        <w:t>3）</w:t>
      </w:r>
      <w:r>
        <w:rPr>
          <w:rFonts w:hint="eastAsia" w:ascii="宋体" w:hAnsi="宋体"/>
          <w:sz w:val="21"/>
          <w:szCs w:val="21"/>
          <w:lang w:val="en-US" w:eastAsia="zh-CN"/>
        </w:rPr>
        <w:t>AGV提前定位至机床换刀处，</w:t>
      </w:r>
      <w:r>
        <w:rPr>
          <w:rFonts w:hint="eastAsia" w:ascii="宋体" w:hAnsi="宋体" w:eastAsia="宋体"/>
          <w:sz w:val="21"/>
          <w:szCs w:val="21"/>
        </w:rPr>
        <w:t>加工程序结束</w:t>
      </w:r>
      <w:r>
        <w:rPr>
          <w:rFonts w:hint="eastAsia" w:ascii="宋体" w:hAnsi="宋体"/>
          <w:sz w:val="21"/>
          <w:szCs w:val="21"/>
          <w:lang w:val="en-US" w:eastAsia="zh-CN"/>
        </w:rPr>
        <w:t>时，进行换刀</w:t>
      </w:r>
      <w:r>
        <w:rPr>
          <w:rFonts w:hint="eastAsia" w:ascii="宋体" w:hAnsi="宋体" w:eastAsia="宋体"/>
          <w:sz w:val="24"/>
          <w:szCs w:val="24"/>
        </w:rPr>
        <w:t>。</w:t>
      </w:r>
    </w:p>
    <w:p>
      <w:pPr>
        <w:pStyle w:val="44"/>
        <w:numPr>
          <w:ilvl w:val="0"/>
          <w:numId w:val="0"/>
        </w:numPr>
        <w:spacing w:line="360" w:lineRule="auto"/>
        <w:ind w:leftChars="0"/>
        <w:contextualSpacing/>
        <w:rPr>
          <w:rFonts w:hint="eastAsia" w:ascii="宋体" w:hAnsi="宋体"/>
          <w:highlight w:val="none"/>
          <w:lang w:val="en-US" w:eastAsia="zh-CN"/>
        </w:rPr>
      </w:pPr>
      <w:r>
        <w:rPr>
          <w:rFonts w:hint="eastAsia" w:ascii="宋体" w:hAnsi="宋体"/>
          <w:highlight w:val="none"/>
          <w:lang w:val="en-US" w:eastAsia="zh-CN"/>
        </w:rPr>
        <w:t>1.3.2.6其余技术要求</w:t>
      </w:r>
    </w:p>
    <w:p>
      <w:pPr>
        <w:pStyle w:val="44"/>
        <w:widowControl w:val="0"/>
        <w:spacing w:line="360" w:lineRule="auto"/>
        <w:ind w:firstLine="0" w:firstLineChars="0"/>
        <w:contextualSpacing/>
        <w:jc w:val="both"/>
        <w:rPr>
          <w:rFonts w:hint="eastAsia" w:ascii="宋体" w:hAnsi="宋体"/>
          <w:sz w:val="21"/>
          <w:szCs w:val="21"/>
        </w:rPr>
      </w:pPr>
      <w:r>
        <w:rPr>
          <w:rFonts w:hint="eastAsia" w:ascii="宋体" w:hAnsi="宋体"/>
          <w:sz w:val="21"/>
          <w:szCs w:val="21"/>
        </w:rPr>
        <w:t>1）项目实施后应具备手自动切换功能，在手动模式下换刀时，保证原流程的完整性，并保证换刀人员的安全性。</w:t>
      </w:r>
    </w:p>
    <w:p>
      <w:pPr>
        <w:pStyle w:val="44"/>
        <w:widowControl w:val="0"/>
        <w:numPr>
          <w:ilvl w:val="0"/>
          <w:numId w:val="8"/>
        </w:numPr>
        <w:spacing w:line="360" w:lineRule="auto"/>
        <w:ind w:firstLineChars="0"/>
        <w:contextualSpacing/>
        <w:jc w:val="both"/>
        <w:rPr>
          <w:rFonts w:hint="eastAsia" w:ascii="宋体" w:hAnsi="宋体"/>
          <w:sz w:val="21"/>
          <w:szCs w:val="21"/>
        </w:rPr>
      </w:pPr>
      <w:r>
        <w:rPr>
          <w:rFonts w:hint="eastAsia" w:ascii="宋体" w:hAnsi="宋体"/>
          <w:sz w:val="21"/>
          <w:szCs w:val="21"/>
        </w:rPr>
        <w:t>跟机床通讯交互时，保证整个运转流程安全可靠，防止出现碰撞等安全漏洞。</w:t>
      </w:r>
    </w:p>
    <w:p>
      <w:pPr>
        <w:pStyle w:val="44"/>
        <w:widowControl w:val="0"/>
        <w:spacing w:line="360" w:lineRule="auto"/>
        <w:ind w:firstLine="0" w:firstLineChars="0"/>
        <w:contextualSpacing/>
        <w:jc w:val="both"/>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）二次视觉定位装置定位精</w:t>
      </w:r>
      <w:r>
        <w:rPr>
          <w:rFonts w:hint="eastAsia" w:ascii="宋体" w:hAnsi="宋体"/>
          <w:sz w:val="21"/>
          <w:szCs w:val="21"/>
          <w:highlight w:val="none"/>
        </w:rPr>
        <w:t>度±0.2mm左右，保证机</w:t>
      </w:r>
      <w:r>
        <w:rPr>
          <w:rFonts w:hint="eastAsia" w:ascii="宋体" w:hAnsi="宋体"/>
          <w:sz w:val="21"/>
          <w:szCs w:val="21"/>
        </w:rPr>
        <w:t>械手二次定位精度。</w:t>
      </w:r>
    </w:p>
    <w:p>
      <w:pPr>
        <w:spacing w:line="360" w:lineRule="auto"/>
        <w:contextualSpacing/>
        <w:rPr>
          <w:rFonts w:hint="eastAsia" w:ascii="宋体" w:hAnsi="宋体" w:eastAsia="宋体"/>
          <w:sz w:val="21"/>
          <w:szCs w:val="21"/>
        </w:rPr>
      </w:pPr>
      <w:r>
        <w:rPr>
          <w:rFonts w:hint="eastAsia" w:ascii="宋体" w:hAnsi="宋体"/>
          <w:sz w:val="21"/>
          <w:szCs w:val="21"/>
          <w:lang w:val="en-US" w:eastAsia="zh-CN"/>
        </w:rPr>
        <w:t>4</w:t>
      </w:r>
      <w:r>
        <w:rPr>
          <w:rFonts w:hint="eastAsia" w:ascii="宋体" w:hAnsi="宋体" w:eastAsia="宋体"/>
          <w:sz w:val="21"/>
          <w:szCs w:val="21"/>
        </w:rPr>
        <w:t>）机器人卡爪装置安全牢固，</w:t>
      </w:r>
      <w:r>
        <w:rPr>
          <w:rFonts w:hint="eastAsia" w:ascii="宋体" w:hAnsi="宋体"/>
          <w:sz w:val="21"/>
          <w:szCs w:val="21"/>
          <w:lang w:val="en-US" w:eastAsia="zh-CN"/>
        </w:rPr>
        <w:t>禁止</w:t>
      </w:r>
      <w:r>
        <w:rPr>
          <w:rFonts w:hint="eastAsia" w:ascii="宋体" w:hAnsi="宋体" w:eastAsia="宋体"/>
          <w:sz w:val="21"/>
          <w:szCs w:val="21"/>
        </w:rPr>
        <w:t>刀具在抓取过程中出现脱落，倾斜等状况。</w:t>
      </w:r>
    </w:p>
    <w:p>
      <w:pPr>
        <w:spacing w:line="360" w:lineRule="auto"/>
        <w:contextualSpacing/>
        <w:rPr>
          <w:rFonts w:hint="eastAsia" w:ascii="宋体" w:hAnsi="宋体" w:eastAsia="宋体"/>
          <w:sz w:val="21"/>
          <w:szCs w:val="21"/>
        </w:rPr>
      </w:pPr>
      <w:r>
        <w:rPr>
          <w:rFonts w:hint="eastAsia" w:ascii="宋体" w:hAnsi="宋体"/>
          <w:sz w:val="21"/>
          <w:szCs w:val="21"/>
          <w:lang w:val="en-US" w:eastAsia="zh-CN"/>
        </w:rPr>
        <w:t>5</w:t>
      </w:r>
      <w:r>
        <w:rPr>
          <w:rFonts w:hint="eastAsia" w:ascii="宋体" w:hAnsi="宋体" w:eastAsia="宋体"/>
          <w:sz w:val="21"/>
          <w:szCs w:val="21"/>
        </w:rPr>
        <w:t>）机器人在机床刀库抓取刀具时，具有一定柔性，保证换刀过程流畅无报警。</w:t>
      </w:r>
    </w:p>
    <w:p>
      <w:pPr>
        <w:spacing w:line="360" w:lineRule="auto"/>
        <w:contextualSpacing/>
        <w:rPr>
          <w:rFonts w:hint="eastAsia" w:ascii="宋体" w:hAnsi="宋体" w:eastAsia="宋体"/>
          <w:sz w:val="21"/>
          <w:szCs w:val="21"/>
        </w:rPr>
      </w:pPr>
      <w:r>
        <w:rPr>
          <w:rFonts w:hint="eastAsia" w:ascii="宋体" w:hAnsi="宋体"/>
          <w:sz w:val="21"/>
          <w:szCs w:val="21"/>
          <w:lang w:val="en-US" w:eastAsia="zh-CN"/>
        </w:rPr>
        <w:t>6</w:t>
      </w:r>
      <w:r>
        <w:rPr>
          <w:rFonts w:hint="eastAsia" w:ascii="宋体" w:hAnsi="宋体" w:eastAsia="宋体"/>
          <w:sz w:val="21"/>
          <w:szCs w:val="21"/>
        </w:rPr>
        <w:t>）单独增加机床从站对改造部位的开关门气缸，拉刀气缸及到位信号进行交互，尽量减少更改原机床程序框架。</w:t>
      </w:r>
    </w:p>
    <w:p>
      <w:pPr>
        <w:pStyle w:val="44"/>
        <w:numPr>
          <w:ilvl w:val="0"/>
          <w:numId w:val="0"/>
        </w:numPr>
        <w:spacing w:line="360" w:lineRule="auto"/>
        <w:ind w:left="360" w:leftChars="0" w:hanging="360" w:firstLineChars="0"/>
        <w:contextualSpacing/>
        <w:rPr>
          <w:rFonts w:hint="eastAsia" w:ascii="宋体" w:hAnsi="宋体"/>
          <w:sz w:val="21"/>
          <w:szCs w:val="21"/>
        </w:rPr>
      </w:pPr>
      <w:r>
        <w:rPr>
          <w:rFonts w:hint="eastAsia" w:ascii="宋体" w:hAnsi="宋体" w:cs="Times New Roman"/>
          <w:kern w:val="2"/>
          <w:sz w:val="21"/>
          <w:szCs w:val="21"/>
          <w:lang w:val="en-US" w:eastAsia="zh-CN" w:bidi="ar-SA"/>
        </w:rPr>
        <w:t>7</w:t>
      </w:r>
      <w:r>
        <w:rPr>
          <w:rFonts w:hint="default" w:ascii="宋体" w:hAnsi="宋体" w:eastAsia="宋体" w:cs="Times New Roman"/>
          <w:kern w:val="2"/>
          <w:sz w:val="21"/>
          <w:szCs w:val="21"/>
          <w:lang w:val="en-US" w:eastAsia="zh-CN" w:bidi="ar-SA"/>
        </w:rPr>
        <w:t>）</w:t>
      </w:r>
      <w:r>
        <w:rPr>
          <w:rFonts w:hint="eastAsia" w:ascii="宋体" w:hAnsi="宋体"/>
          <w:sz w:val="21"/>
          <w:szCs w:val="21"/>
        </w:rPr>
        <w:t>增加的控制装置都带有断电保持功能，防止紧急情况门垂直下落风险。</w:t>
      </w:r>
    </w:p>
    <w:p>
      <w:pPr>
        <w:spacing w:line="360" w:lineRule="auto"/>
        <w:contextualSpacing/>
        <w:rPr>
          <w:rFonts w:hint="eastAsia" w:ascii="宋体" w:hAnsi="宋体" w:eastAsia="宋体"/>
          <w:sz w:val="21"/>
          <w:szCs w:val="21"/>
        </w:rPr>
      </w:pPr>
      <w:r>
        <w:rPr>
          <w:rFonts w:hint="eastAsia" w:ascii="宋体" w:hAnsi="宋体"/>
          <w:sz w:val="21"/>
          <w:szCs w:val="21"/>
          <w:lang w:val="en-US" w:eastAsia="zh-CN"/>
        </w:rPr>
        <w:t>8</w:t>
      </w:r>
      <w:r>
        <w:rPr>
          <w:rFonts w:hint="eastAsia" w:ascii="宋体" w:hAnsi="宋体" w:eastAsia="宋体"/>
          <w:sz w:val="21"/>
          <w:szCs w:val="21"/>
        </w:rPr>
        <w:t>）</w:t>
      </w:r>
      <w:r>
        <w:rPr>
          <w:rFonts w:hint="eastAsia" w:ascii="宋体" w:hAnsi="宋体" w:eastAsia="宋体" w:cs="Times New Roman"/>
          <w:kern w:val="2"/>
          <w:sz w:val="21"/>
          <w:szCs w:val="21"/>
          <w:lang w:val="en-US" w:eastAsia="zh-CN" w:bidi="ar-SA"/>
        </w:rPr>
        <w:t>若换刀过程中发生报警（掉刀，未插入刀座等），AGV应具有声光报警功能，同时发送信号给机床，操作人员进行及时确认处理</w:t>
      </w:r>
      <w:r>
        <w:rPr>
          <w:rFonts w:hint="eastAsia" w:ascii="宋体" w:hAnsi="宋体" w:eastAsia="宋体"/>
          <w:sz w:val="21"/>
          <w:szCs w:val="21"/>
        </w:rPr>
        <w:t>。</w:t>
      </w:r>
    </w:p>
    <w:p>
      <w:pPr>
        <w:spacing w:line="360" w:lineRule="auto"/>
        <w:contextualSpacing/>
        <w:rPr>
          <w:rFonts w:hint="eastAsia" w:ascii="宋体" w:hAnsi="宋体" w:eastAsia="宋体"/>
          <w:sz w:val="21"/>
          <w:szCs w:val="21"/>
        </w:rPr>
      </w:pPr>
      <w:r>
        <w:rPr>
          <w:rFonts w:hint="eastAsia" w:ascii="宋体" w:hAnsi="宋体"/>
          <w:sz w:val="21"/>
          <w:szCs w:val="21"/>
          <w:lang w:val="en-US" w:eastAsia="zh-CN"/>
        </w:rPr>
        <w:t>9</w:t>
      </w:r>
      <w:r>
        <w:rPr>
          <w:rFonts w:hint="eastAsia" w:ascii="宋体" w:hAnsi="宋体" w:eastAsia="宋体"/>
          <w:sz w:val="21"/>
          <w:szCs w:val="21"/>
        </w:rPr>
        <w:t>）应考虑新刀数据丢失情况，增加数据刀具信息更新至机床确认功能，保证加工质量。（数据读取成功信号常亮）</w:t>
      </w:r>
    </w:p>
    <w:p>
      <w:pPr>
        <w:spacing w:line="360" w:lineRule="auto"/>
        <w:contextualSpacing/>
        <w:rPr>
          <w:rFonts w:hint="eastAsia" w:ascii="宋体" w:hAnsi="宋体" w:eastAsia="宋体"/>
          <w:b/>
          <w:sz w:val="21"/>
          <w:szCs w:val="21"/>
        </w:rPr>
      </w:pPr>
      <w:r>
        <w:rPr>
          <w:rFonts w:hint="eastAsia" w:ascii="宋体" w:hAnsi="宋体" w:eastAsia="宋体"/>
          <w:sz w:val="21"/>
          <w:szCs w:val="21"/>
        </w:rPr>
        <w:t>1</w:t>
      </w:r>
      <w:r>
        <w:rPr>
          <w:rFonts w:hint="eastAsia" w:ascii="宋体" w:hAnsi="宋体"/>
          <w:sz w:val="21"/>
          <w:szCs w:val="21"/>
          <w:lang w:val="en-US" w:eastAsia="zh-CN"/>
        </w:rPr>
        <w:t>0</w:t>
      </w:r>
      <w:r>
        <w:rPr>
          <w:rFonts w:hint="eastAsia" w:ascii="宋体" w:hAnsi="宋体" w:eastAsia="宋体"/>
          <w:sz w:val="21"/>
          <w:szCs w:val="21"/>
        </w:rPr>
        <w:t>）换刀请求方式应从NC编程或AGV自主判断进行验证，选取最优的换刀请求方式。</w:t>
      </w:r>
    </w:p>
    <w:p>
      <w:pPr>
        <w:spacing w:line="360" w:lineRule="auto"/>
        <w:contextualSpacing/>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1</w:t>
      </w:r>
      <w:r>
        <w:rPr>
          <w:rFonts w:hint="eastAsia" w:ascii="宋体" w:hAnsi="宋体" w:eastAsia="宋体"/>
          <w:sz w:val="21"/>
          <w:szCs w:val="21"/>
        </w:rPr>
        <w:t>）提供15个巴鲁夫刀具芯片，型号如下：</w:t>
      </w:r>
    </w:p>
    <w:p>
      <w:pPr>
        <w:pStyle w:val="44"/>
        <w:widowControl w:val="0"/>
        <w:spacing w:line="360" w:lineRule="auto"/>
        <w:ind w:firstLine="0" w:firstLineChars="0"/>
        <w:contextualSpacing/>
        <w:jc w:val="center"/>
        <w:rPr>
          <w:rFonts w:hint="eastAsia" w:ascii="宋体" w:hAnsi="宋体"/>
          <w:b/>
          <w:sz w:val="21"/>
          <w:szCs w:val="21"/>
        </w:rPr>
      </w:pPr>
      <w:r>
        <w:rPr>
          <w:rFonts w:ascii="宋体" w:hAnsi="宋体"/>
          <w:b/>
          <w:sz w:val="21"/>
          <w:szCs w:val="21"/>
        </w:rPr>
        <w:drawing>
          <wp:inline distT="0" distB="0" distL="114300" distR="114300">
            <wp:extent cx="2897505" cy="923925"/>
            <wp:effectExtent l="0" t="0" r="13335" b="5715"/>
            <wp:docPr id="3" name="图片 3" descr="03d443943e1916b80c1224d2f8ea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d443943e1916b80c1224d2f8ea92b"/>
                    <pic:cNvPicPr>
                      <a:picLocks noChangeAspect="1"/>
                    </pic:cNvPicPr>
                  </pic:nvPicPr>
                  <pic:blipFill>
                    <a:blip r:embed="rId33"/>
                    <a:srcRect l="9997"/>
                    <a:stretch>
                      <a:fillRect/>
                    </a:stretch>
                  </pic:blipFill>
                  <pic:spPr>
                    <a:xfrm>
                      <a:off x="0" y="0"/>
                      <a:ext cx="2897581" cy="923925"/>
                    </a:xfrm>
                    <a:prstGeom prst="rect">
                      <a:avLst/>
                    </a:prstGeom>
                    <a:ln>
                      <a:noFill/>
                    </a:ln>
                  </pic:spPr>
                </pic:pic>
              </a:graphicData>
            </a:graphic>
          </wp:inline>
        </w:drawing>
      </w:r>
    </w:p>
    <w:p>
      <w:pPr>
        <w:spacing w:line="360" w:lineRule="auto"/>
        <w:contextualSpacing/>
        <w:rPr>
          <w:rFonts w:hint="eastAsia" w:ascii="宋体" w:hAnsi="宋体" w:eastAsia="宋体"/>
          <w:sz w:val="21"/>
          <w:szCs w:val="21"/>
          <w:highlight w:val="none"/>
        </w:rPr>
      </w:pPr>
      <w:r>
        <w:rPr>
          <w:rFonts w:hint="eastAsia" w:ascii="宋体" w:hAnsi="宋体" w:eastAsia="宋体"/>
          <w:sz w:val="21"/>
          <w:szCs w:val="21"/>
          <w:highlight w:val="none"/>
        </w:rPr>
        <w:t>1</w:t>
      </w:r>
      <w:r>
        <w:rPr>
          <w:rFonts w:hint="eastAsia" w:ascii="宋体" w:hAnsi="宋体"/>
          <w:sz w:val="21"/>
          <w:szCs w:val="21"/>
          <w:highlight w:val="none"/>
          <w:lang w:val="en-US" w:eastAsia="zh-CN"/>
        </w:rPr>
        <w:t>2</w:t>
      </w:r>
      <w:r>
        <w:rPr>
          <w:rFonts w:hint="eastAsia" w:ascii="宋体" w:hAnsi="宋体" w:eastAsia="宋体"/>
          <w:sz w:val="21"/>
          <w:szCs w:val="21"/>
          <w:highlight w:val="none"/>
        </w:rPr>
        <w:t>）整个换刀流程不超过120S。</w:t>
      </w:r>
    </w:p>
    <w:p>
      <w:pPr>
        <w:spacing w:line="360" w:lineRule="auto"/>
        <w:contextualSpacing/>
        <w:rPr>
          <w:rFonts w:hint="eastAsia" w:ascii="宋体" w:hAnsi="宋体" w:eastAsia="宋体"/>
          <w:sz w:val="21"/>
          <w:szCs w:val="21"/>
          <w:highlight w:val="none"/>
        </w:rPr>
      </w:pPr>
      <w:r>
        <w:rPr>
          <w:rFonts w:hint="eastAsia" w:ascii="宋体" w:hAnsi="宋体" w:eastAsia="宋体"/>
          <w:sz w:val="21"/>
          <w:szCs w:val="21"/>
          <w:highlight w:val="none"/>
        </w:rPr>
        <w:t>1</w:t>
      </w:r>
      <w:r>
        <w:rPr>
          <w:rFonts w:hint="eastAsia" w:ascii="宋体" w:hAnsi="宋体"/>
          <w:sz w:val="21"/>
          <w:szCs w:val="21"/>
          <w:highlight w:val="none"/>
          <w:lang w:val="en-US" w:eastAsia="zh-CN"/>
        </w:rPr>
        <w:t>3</w:t>
      </w:r>
      <w:r>
        <w:rPr>
          <w:rFonts w:hint="eastAsia" w:ascii="宋体" w:hAnsi="宋体" w:eastAsia="宋体"/>
          <w:sz w:val="21"/>
          <w:szCs w:val="21"/>
          <w:highlight w:val="none"/>
        </w:rPr>
        <w:t>）根据实际需求增加线边库刀库数量（至少20把）</w:t>
      </w:r>
    </w:p>
    <w:p>
      <w:pPr>
        <w:spacing w:line="360" w:lineRule="auto"/>
        <w:contextualSpacing/>
        <w:rPr>
          <w:rFonts w:hint="eastAsia" w:ascii="宋体" w:hAnsi="宋体" w:eastAsia="宋体"/>
          <w:sz w:val="21"/>
          <w:szCs w:val="21"/>
          <w:highlight w:val="none"/>
        </w:rPr>
      </w:pPr>
      <w:r>
        <w:rPr>
          <w:rFonts w:hint="eastAsia" w:ascii="宋体" w:hAnsi="宋体"/>
          <w:sz w:val="21"/>
          <w:szCs w:val="21"/>
          <w:highlight w:val="none"/>
          <w:lang w:val="en-US" w:eastAsia="zh-CN"/>
        </w:rPr>
        <w:t>14）</w:t>
      </w:r>
      <w:r>
        <w:rPr>
          <w:rFonts w:hint="eastAsia" w:ascii="宋体" w:hAnsi="宋体" w:eastAsia="宋体"/>
          <w:sz w:val="21"/>
          <w:szCs w:val="21"/>
          <w:highlight w:val="none"/>
        </w:rPr>
        <w:t>OP85-4的</w:t>
      </w:r>
      <w:r>
        <w:rPr>
          <w:rFonts w:hint="eastAsia" w:ascii="宋体" w:hAnsi="宋体"/>
          <w:sz w:val="21"/>
          <w:szCs w:val="21"/>
          <w:highlight w:val="none"/>
          <w:lang w:eastAsia="zh-CN"/>
        </w:rPr>
        <w:t>、</w:t>
      </w:r>
      <w:r>
        <w:rPr>
          <w:rFonts w:hint="eastAsia" w:ascii="宋体" w:hAnsi="宋体"/>
          <w:sz w:val="21"/>
          <w:szCs w:val="21"/>
          <w:highlight w:val="none"/>
          <w:lang w:val="en-US" w:eastAsia="zh-CN"/>
        </w:rPr>
        <w:t>刀具、</w:t>
      </w:r>
      <w:r>
        <w:rPr>
          <w:rFonts w:hint="eastAsia" w:ascii="宋体" w:hAnsi="宋体" w:eastAsia="宋体"/>
          <w:sz w:val="21"/>
          <w:szCs w:val="21"/>
          <w:highlight w:val="none"/>
        </w:rPr>
        <w:t>刀具架需要进行单独划分，专机专用。</w:t>
      </w:r>
    </w:p>
    <w:p>
      <w:pPr>
        <w:spacing w:line="360" w:lineRule="auto"/>
        <w:contextualSpacing/>
        <w:rPr>
          <w:rFonts w:hint="eastAsia" w:ascii="宋体" w:hAnsi="宋体"/>
          <w:sz w:val="21"/>
          <w:szCs w:val="21"/>
          <w:highlight w:val="none"/>
          <w:lang w:val="en-US" w:eastAsia="zh-CN"/>
        </w:rPr>
      </w:pPr>
      <w:r>
        <w:rPr>
          <w:rFonts w:hint="eastAsia" w:ascii="宋体" w:hAnsi="宋体"/>
          <w:sz w:val="21"/>
          <w:szCs w:val="21"/>
          <w:highlight w:val="none"/>
          <w:lang w:val="en-US" w:eastAsia="zh-CN"/>
        </w:rPr>
        <w:t>15）对刀室人工放刀位增加安全光栅，保证现场人员安全。</w:t>
      </w:r>
    </w:p>
    <w:p>
      <w:pPr>
        <w:pStyle w:val="8"/>
        <w:rPr>
          <w:b/>
          <w:bCs/>
        </w:rPr>
      </w:pPr>
      <w:r>
        <w:rPr>
          <w:rFonts w:hint="eastAsia"/>
          <w:b/>
          <w:bCs/>
          <w:lang w:val="en-US" w:eastAsia="zh-CN"/>
        </w:rPr>
        <w:t>三</w:t>
      </w:r>
      <w:r>
        <w:rPr>
          <w:b/>
          <w:bCs/>
        </w:rPr>
        <w:t>、质保期及质保要求</w:t>
      </w:r>
    </w:p>
    <w:p>
      <w:pPr>
        <w:pStyle w:val="8"/>
      </w:pPr>
      <w:r>
        <w:t>1、全部供货范围内的</w:t>
      </w:r>
      <w:r>
        <w:rPr>
          <w:rFonts w:hint="eastAsia"/>
        </w:rPr>
        <w:t>设备</w:t>
      </w:r>
      <w:r>
        <w:t>、材料、零配件和工器具等，除合同特别约定外，其质保期均自终验收签字生效之日起  12  个月。</w:t>
      </w:r>
    </w:p>
    <w:p>
      <w:pPr>
        <w:pStyle w:val="8"/>
        <w:ind w:firstLine="420" w:firstLineChars="200"/>
      </w:pPr>
      <w:r>
        <w:t>投标货物或涉及的关键总成和零件，如果有更长时间质保期，允许更改并说明，此将有利于投标方。</w:t>
      </w:r>
    </w:p>
    <w:p>
      <w:pPr>
        <w:pStyle w:val="8"/>
      </w:pPr>
      <w:r>
        <w:t>设计使用寿命短于质保期的易损件除外，但属于易损件的，应当有明确说明。</w:t>
      </w:r>
    </w:p>
    <w:p>
      <w:pPr>
        <w:pStyle w:val="8"/>
      </w:pPr>
      <w:r>
        <w:t>2、质保期之内，如果</w:t>
      </w:r>
      <w:r>
        <w:rPr>
          <w:rFonts w:hint="eastAsia"/>
        </w:rPr>
        <w:t>设备</w:t>
      </w:r>
      <w:r>
        <w:t>出现</w:t>
      </w:r>
      <w:r>
        <w:rPr>
          <w:rFonts w:hint="eastAsia"/>
        </w:rPr>
        <w:t>设备</w:t>
      </w:r>
      <w:r>
        <w:t>关键零部件或者多处一般零部件的更换或维修行为，则质保期自更换或维修行为结束、</w:t>
      </w:r>
      <w:r>
        <w:rPr>
          <w:rFonts w:hint="eastAsia"/>
        </w:rPr>
        <w:t>设备</w:t>
      </w:r>
      <w:r>
        <w:t>重新正常运行使用之日起重新计算。</w:t>
      </w:r>
    </w:p>
    <w:p>
      <w:pPr>
        <w:pStyle w:val="8"/>
      </w:pPr>
      <w:r>
        <w:t>3、质保期内免费提供零部件和及时有效的服务。质保期内因货物本身缺陷造成的各种故障，卖方应负责免费维修和服务。</w:t>
      </w:r>
    </w:p>
    <w:p>
      <w:pPr>
        <w:pStyle w:val="8"/>
      </w:pPr>
      <w:r>
        <w:t>4、质保期终止之日起一年内重复出现的质保期之内出现的故障，仍属质保范围而且应当免费。</w:t>
      </w:r>
    </w:p>
    <w:p>
      <w:pPr>
        <w:pStyle w:val="8"/>
      </w:pPr>
      <w:r>
        <w:rPr>
          <w:rFonts w:hint="eastAsia"/>
        </w:rPr>
        <w:t>三</w:t>
      </w:r>
      <w:r>
        <w:t>、包装</w:t>
      </w:r>
    </w:p>
    <w:p>
      <w:pPr>
        <w:pStyle w:val="8"/>
      </w:pPr>
      <w:r>
        <w:t>1、所提</w:t>
      </w:r>
      <w:r>
        <w:rPr>
          <w:rFonts w:hint="eastAsia"/>
        </w:rPr>
        <w:t>供设备</w:t>
      </w:r>
      <w:r>
        <w:t>的包装，应遵照国家标准和有关包装、包皮的技术条件，或按照最好的商业惯例进行包装。</w:t>
      </w:r>
    </w:p>
    <w:p>
      <w:pPr>
        <w:pStyle w:val="8"/>
      </w:pPr>
      <w:r>
        <w:t>2、包装应能满足所需要采取的运输方式（船运、汽运或铁路运输）、多次吊装卸装、卸货以及长期露天堆放要求，应能防止雨淋、受潮、生锈、腐蚀、受振、受磁以及机械和化学因素等引起的损坏。</w:t>
      </w:r>
    </w:p>
    <w:p>
      <w:pPr>
        <w:pStyle w:val="8"/>
      </w:pPr>
      <w:r>
        <w:t>3、所提</w:t>
      </w:r>
      <w:r>
        <w:rPr>
          <w:rFonts w:hint="eastAsia"/>
        </w:rPr>
        <w:t>供设备</w:t>
      </w:r>
      <w:r>
        <w:t>的包装，应能防止其一般性被窃或受外力破坏；一般不得采用有大缝隙的板条包装。</w:t>
      </w:r>
    </w:p>
    <w:p>
      <w:pPr>
        <w:pStyle w:val="8"/>
      </w:pPr>
      <w:r>
        <w:t>4、应对包装件做必要的加固和固定，以防止运输可能造成的损坏。</w:t>
      </w:r>
    </w:p>
    <w:p>
      <w:pPr>
        <w:pStyle w:val="8"/>
      </w:pPr>
      <w:r>
        <w:t>5、每个包装件应有装箱单，并至少标明名称、型号规格、数量、净重和毛重、投标方（或供货商）名称和制造日期等相关内容。</w:t>
      </w:r>
    </w:p>
    <w:p>
      <w:pPr>
        <w:pStyle w:val="8"/>
      </w:pPr>
      <w:r>
        <w:t>6、每个包装箱应有明显标志，并具有中文书写的合同号、装运标志、发货和到货地点名称、发货人和收货人名称、</w:t>
      </w:r>
      <w:r>
        <w:rPr>
          <w:rFonts w:hint="eastAsia"/>
        </w:rPr>
        <w:t>设备</w:t>
      </w:r>
      <w:r>
        <w:t>名称和项目号、箱号和外型尺寸等内容。</w:t>
      </w:r>
    </w:p>
    <w:p>
      <w:pPr>
        <w:pStyle w:val="8"/>
      </w:pPr>
      <w:r>
        <w:t>7、包装箱应连续编号，不应出现重复编号。</w:t>
      </w:r>
    </w:p>
    <w:p>
      <w:pPr>
        <w:pStyle w:val="8"/>
      </w:pPr>
      <w:r>
        <w:t>8、在不受到外界破坏情况下，包装应保证自交货日起一年内货物（或</w:t>
      </w:r>
      <w:r>
        <w:rPr>
          <w:rFonts w:hint="eastAsia"/>
        </w:rPr>
        <w:t>设备</w:t>
      </w:r>
      <w:r>
        <w:t>）完好无损。</w:t>
      </w:r>
    </w:p>
    <w:p>
      <w:pPr>
        <w:pStyle w:val="8"/>
      </w:pPr>
      <w:r>
        <w:rPr>
          <w:rFonts w:hint="eastAsia"/>
        </w:rPr>
        <w:t>四</w:t>
      </w:r>
      <w:r>
        <w:t>、运输</w:t>
      </w:r>
    </w:p>
    <w:p>
      <w:pPr>
        <w:pStyle w:val="8"/>
      </w:pPr>
      <w:r>
        <w:t>1、应负责将</w:t>
      </w:r>
      <w:r>
        <w:rPr>
          <w:rFonts w:hint="eastAsia"/>
        </w:rPr>
        <w:t>设备</w:t>
      </w:r>
      <w:r>
        <w:t>运到目的地，并必须做到</w:t>
      </w:r>
      <w:r>
        <w:rPr>
          <w:rFonts w:hint="eastAsia"/>
        </w:rPr>
        <w:t>设备</w:t>
      </w:r>
      <w:r>
        <w:t>在任何运输过程中不受损坏和遗失。</w:t>
      </w:r>
    </w:p>
    <w:p>
      <w:pPr>
        <w:pStyle w:val="8"/>
      </w:pPr>
      <w:r>
        <w:t>2、同批</w:t>
      </w:r>
      <w:r>
        <w:rPr>
          <w:rFonts w:hint="eastAsia"/>
        </w:rPr>
        <w:t>设备</w:t>
      </w:r>
      <w:r>
        <w:t>应统一包装、编号运输。</w:t>
      </w:r>
    </w:p>
    <w:p>
      <w:pPr>
        <w:pStyle w:val="8"/>
      </w:pPr>
      <w:r>
        <w:t>3、一般情况下，经由铁路、公路运输的包装件尺寸和重量不应超过国家所规定的尺寸限制。特殊情况应予以说明。</w:t>
      </w:r>
    </w:p>
    <w:p>
      <w:pPr>
        <w:pStyle w:val="8"/>
      </w:pPr>
      <w:r>
        <w:t>4、在每批</w:t>
      </w:r>
      <w:r>
        <w:rPr>
          <w:rFonts w:hint="eastAsia"/>
        </w:rPr>
        <w:t>设备</w:t>
      </w:r>
      <w:r>
        <w:t>发出后，应立即通知买方；通知中应指明：合同号、货运单号、件数、重量和</w:t>
      </w:r>
      <w:r>
        <w:rPr>
          <w:rFonts w:hint="eastAsia"/>
        </w:rPr>
        <w:t>设备</w:t>
      </w:r>
      <w:r>
        <w:t>发出日期等相关内容。</w:t>
      </w:r>
    </w:p>
    <w:p>
      <w:pPr>
        <w:pStyle w:val="8"/>
        <w:rPr>
          <w:highlight w:val="yellow"/>
        </w:rPr>
      </w:pPr>
      <w:r>
        <w:t>5、</w:t>
      </w:r>
      <w:r>
        <w:rPr>
          <w:rFonts w:hint="eastAsia"/>
        </w:rPr>
        <w:t>设备</w:t>
      </w:r>
      <w:r>
        <w:t>运抵交货地点后，应负责货物（或</w:t>
      </w:r>
      <w:r>
        <w:rPr>
          <w:rFonts w:hint="eastAsia"/>
        </w:rPr>
        <w:t>设备</w:t>
      </w:r>
      <w:r>
        <w:t>）的卸货、搬运、保管等事宜；或按照合同约定。</w:t>
      </w:r>
    </w:p>
    <w:p>
      <w:pPr>
        <w:pStyle w:val="8"/>
      </w:pPr>
      <w:r>
        <w:rPr>
          <w:rFonts w:hint="eastAsia"/>
        </w:rPr>
        <w:t>五、预验收和终验收</w:t>
      </w:r>
    </w:p>
    <w:p>
      <w:pPr>
        <w:pStyle w:val="8"/>
      </w:pPr>
      <w:r>
        <w:rPr>
          <w:rFonts w:hint="eastAsia"/>
        </w:rPr>
        <w:t>1、验收的一般约定</w:t>
      </w:r>
    </w:p>
    <w:p>
      <w:pPr>
        <w:pStyle w:val="8"/>
      </w:pPr>
      <w:r>
        <w:rPr>
          <w:rFonts w:hint="eastAsia"/>
        </w:rPr>
        <w:t>1.1、验收标准一般以技术协议书和合同规定验收。</w:t>
      </w:r>
    </w:p>
    <w:p>
      <w:pPr>
        <w:pStyle w:val="8"/>
      </w:pPr>
      <w:r>
        <w:rPr>
          <w:rFonts w:hint="eastAsia"/>
        </w:rPr>
        <w:t>1.2、如果验收过程中，发现招标文件、投标文件、答疑文件、技术交流文件等与技术协议书、合同存在差异，原则上以涉及条款中对买方最有利条款为验收依据。</w:t>
      </w:r>
    </w:p>
    <w:p>
      <w:pPr>
        <w:pStyle w:val="8"/>
      </w:pPr>
      <w:r>
        <w:rPr>
          <w:rFonts w:hint="eastAsia"/>
        </w:rPr>
        <w:t>2、检验</w:t>
      </w:r>
    </w:p>
    <w:p>
      <w:pPr>
        <w:pStyle w:val="8"/>
      </w:pPr>
      <w:r>
        <w:rPr>
          <w:rFonts w:hint="eastAsia"/>
        </w:rPr>
        <w:t>2.1、国产货物的检验由买卖双方按照合同要求或在制造现场进行。</w:t>
      </w:r>
    </w:p>
    <w:p>
      <w:pPr>
        <w:pStyle w:val="8"/>
      </w:pPr>
      <w:r>
        <w:rPr>
          <w:rFonts w:hint="eastAsia"/>
        </w:rPr>
        <w:t>3、验收基本条件</w:t>
      </w:r>
    </w:p>
    <w:p>
      <w:pPr>
        <w:pStyle w:val="8"/>
        <w:ind w:firstLine="420" w:firstLineChars="200"/>
      </w:pPr>
      <w:r>
        <w:rPr>
          <w:rFonts w:hint="eastAsia"/>
          <w:lang w:val="en-US" w:eastAsia="zh-CN"/>
        </w:rPr>
        <w:t>本项目</w:t>
      </w:r>
      <w:r>
        <w:rPr>
          <w:rFonts w:hint="eastAsia"/>
        </w:rPr>
        <w:t>验收在安装调试完成及试运行后的买方现场进行。但是所有的项目，包括不能预验收的项目和预验收通过的项目都在终验收时重新检验，最终只以终验收为准。</w:t>
      </w:r>
    </w:p>
    <w:p>
      <w:pPr>
        <w:pStyle w:val="8"/>
      </w:pPr>
      <w:r>
        <w:rPr>
          <w:rFonts w:hint="eastAsia"/>
        </w:rPr>
        <w:t>买卖双方按照合同约定执行了合同，同时设备完成了试运行并经检验合格，则具备验收条件。</w:t>
      </w:r>
    </w:p>
    <w:p>
      <w:pPr>
        <w:pStyle w:val="8"/>
      </w:pPr>
      <w:r>
        <w:rPr>
          <w:rFonts w:hint="eastAsia"/>
        </w:rPr>
        <w:t>3.1、验收一般条件</w:t>
      </w:r>
    </w:p>
    <w:p>
      <w:pPr>
        <w:pStyle w:val="8"/>
      </w:pPr>
      <w:r>
        <w:rPr>
          <w:rFonts w:hint="eastAsia"/>
        </w:rPr>
        <w:t>3.1.1  卖方已经按照“供货范围”要求提供了预验收资料，并且资料齐全、完整和有效。</w:t>
      </w:r>
    </w:p>
    <w:p>
      <w:pPr>
        <w:pStyle w:val="8"/>
      </w:pPr>
      <w:r>
        <w:rPr>
          <w:rFonts w:hint="eastAsia"/>
        </w:rPr>
        <w:t>3.1.2  设备应运行稳定、可靠、安全，无非正常变形，非正常振动，无异常声音等现象。运动的零部件动作平稳、灵活运动准确。</w:t>
      </w:r>
    </w:p>
    <w:p>
      <w:pPr>
        <w:pStyle w:val="8"/>
      </w:pPr>
      <w:r>
        <w:rPr>
          <w:rFonts w:hint="eastAsia"/>
        </w:rPr>
        <w:t>3.1.3  设备应完整且所有的零部件应该安装牢固，外观无损伤，所有的焊缝饱满、无残渣等缺陷。</w:t>
      </w:r>
    </w:p>
    <w:p>
      <w:pPr>
        <w:pStyle w:val="8"/>
      </w:pPr>
      <w:r>
        <w:rPr>
          <w:rFonts w:hint="eastAsia"/>
        </w:rPr>
        <w:t>3.1.4  设备的油漆质量应饱满、有光泽，无掉漆、无色差、无“桔皮”等不良现象（特殊标志除外）。</w:t>
      </w:r>
    </w:p>
    <w:p>
      <w:pPr>
        <w:pStyle w:val="8"/>
      </w:pPr>
      <w:r>
        <w:rPr>
          <w:rFonts w:hint="eastAsia"/>
        </w:rPr>
        <w:t>3.1.5  设备标牌完整、清晰、明确。</w:t>
      </w:r>
    </w:p>
    <w:p>
      <w:pPr>
        <w:pStyle w:val="8"/>
      </w:pPr>
      <w:r>
        <w:rPr>
          <w:rFonts w:hint="eastAsia"/>
        </w:rPr>
        <w:t>3.1.6  设备的安全要求符合中国最新的相关法律、法规、标准和规范以及合同要求。</w:t>
      </w:r>
    </w:p>
    <w:p>
      <w:pPr>
        <w:pStyle w:val="8"/>
      </w:pPr>
      <w:r>
        <w:rPr>
          <w:rFonts w:hint="eastAsia"/>
          <w:lang w:val="en-US" w:eastAsia="zh-CN"/>
        </w:rPr>
        <w:t>3.1.7</w:t>
      </w:r>
      <w:r>
        <w:rPr>
          <w:rFonts w:hint="eastAsia"/>
        </w:rPr>
        <w:t xml:space="preserve">  设备安装调试完毕，并至少经过了验收要求的负荷试运行。</w:t>
      </w:r>
    </w:p>
    <w:p>
      <w:pPr>
        <w:pStyle w:val="8"/>
      </w:pPr>
      <w:r>
        <w:rPr>
          <w:rFonts w:hint="eastAsia"/>
          <w:lang w:val="en-US" w:eastAsia="zh-CN"/>
        </w:rPr>
        <w:t>3.1.8</w:t>
      </w:r>
      <w:r>
        <w:rPr>
          <w:rFonts w:hint="eastAsia"/>
        </w:rPr>
        <w:t xml:space="preserve"> 设备正常运行时，噪声等环境影响因素满足国家和当地环保主管部门规定，安全措施落实、有效。</w:t>
      </w:r>
    </w:p>
    <w:p>
      <w:pPr>
        <w:pStyle w:val="8"/>
      </w:pPr>
      <w:r>
        <w:rPr>
          <w:rFonts w:hint="eastAsia"/>
          <w:lang w:val="en-US" w:eastAsia="zh-CN"/>
        </w:rPr>
        <w:t>3.1.9</w:t>
      </w:r>
      <w:r>
        <w:rPr>
          <w:rFonts w:hint="eastAsia"/>
        </w:rPr>
        <w:t xml:space="preserve"> 设备质量、技术性能等，达到签定的技术协议书和合同规定的终验收标准。</w:t>
      </w:r>
    </w:p>
    <w:p>
      <w:pPr>
        <w:pStyle w:val="8"/>
      </w:pPr>
      <w:r>
        <w:rPr>
          <w:rFonts w:hint="eastAsia"/>
          <w:lang w:val="en-US" w:eastAsia="zh-CN"/>
        </w:rPr>
        <w:t>3.1.10</w:t>
      </w:r>
      <w:r>
        <w:rPr>
          <w:rFonts w:hint="eastAsia"/>
        </w:rPr>
        <w:t>负荷运行时，货物（或生产线）应连续运行   7   天，每天连续   16  小时。</w:t>
      </w:r>
    </w:p>
    <w:p>
      <w:pPr>
        <w:pStyle w:val="8"/>
      </w:pPr>
      <w:r>
        <w:rPr>
          <w:rFonts w:hint="eastAsia"/>
          <w:lang w:val="en-US" w:eastAsia="zh-CN"/>
        </w:rPr>
        <w:t>3.1.11</w:t>
      </w:r>
      <w:r>
        <w:rPr>
          <w:rFonts w:hint="eastAsia"/>
        </w:rPr>
        <w:t>终验收原则上要求一次完成。若一次验收不成功，最多允许两次；如果出现第三次验收失败，重新作价或退货；</w:t>
      </w:r>
    </w:p>
    <w:p>
      <w:pPr>
        <w:pStyle w:val="8"/>
        <w:rPr>
          <w:rFonts w:ascii="仿宋_GB2312" w:hAnsi="宋体" w:eastAsia="仿宋_GB2312" w:cs="宋体"/>
          <w:bCs/>
          <w:sz w:val="24"/>
          <w:szCs w:val="24"/>
        </w:rPr>
      </w:pPr>
      <w:r>
        <w:rPr>
          <w:rFonts w:hint="eastAsia"/>
          <w:lang w:val="en-US" w:eastAsia="zh-CN"/>
        </w:rPr>
        <w:t>3.1.12</w:t>
      </w:r>
      <w:r>
        <w:rPr>
          <w:rFonts w:hint="eastAsia"/>
        </w:rPr>
        <w:t>终验收通过后买卖双方共同签署终验收报告，并移交、核对全部供货范围内物品。</w:t>
      </w:r>
      <w:bookmarkEnd w:id="7"/>
      <w:bookmarkStart w:id="9" w:name="_Toc283814116"/>
      <w:r>
        <w:rPr>
          <w:rFonts w:ascii="宋体" w:hAnsi="宋体"/>
          <w:sz w:val="20"/>
        </w:rPr>
        <w:t xml:space="preserve"> </w:t>
      </w:r>
      <w:bookmarkEnd w:id="9"/>
    </w:p>
    <w:sectPr>
      <w:headerReference r:id="rId7" w:type="first"/>
      <w:footerReference r:id="rId10" w:type="first"/>
      <w:footerReference r:id="rId8" w:type="default"/>
      <w:footerReference r:id="rId9" w:type="even"/>
      <w:pgSz w:w="11906" w:h="16838"/>
      <w:pgMar w:top="1701" w:right="1134" w:bottom="1134" w:left="1134" w:header="851" w:footer="896"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1FFCF"/>
    <w:multiLevelType w:val="singleLevel"/>
    <w:tmpl w:val="BB71FFCF"/>
    <w:lvl w:ilvl="0" w:tentative="0">
      <w:start w:val="1"/>
      <w:numFmt w:val="decimal"/>
      <w:suff w:val="nothing"/>
      <w:lvlText w:val="%1）"/>
      <w:lvlJc w:val="left"/>
    </w:lvl>
  </w:abstractNum>
  <w:abstractNum w:abstractNumId="1">
    <w:nsid w:val="118975E6"/>
    <w:multiLevelType w:val="multilevel"/>
    <w:tmpl w:val="118975E6"/>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380551F2"/>
    <w:multiLevelType w:val="multilevel"/>
    <w:tmpl w:val="380551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EAD79E1"/>
    <w:multiLevelType w:val="multilevel"/>
    <w:tmpl w:val="4EAD79E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8BD0945"/>
    <w:multiLevelType w:val="multilevel"/>
    <w:tmpl w:val="58BD094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72C36AAA"/>
    <w:multiLevelType w:val="multilevel"/>
    <w:tmpl w:val="72C36AAA"/>
    <w:lvl w:ilvl="0" w:tentative="0">
      <w:start w:val="1"/>
      <w:numFmt w:val="decimal"/>
      <w:lvlText w:val="%1）"/>
      <w:lvlJc w:val="left"/>
      <w:pPr>
        <w:ind w:left="360" w:hanging="360"/>
      </w:pPr>
      <w:rPr>
        <w:rFonts w:ascii="宋体" w:hAnsi="宋体" w:eastAsia="宋体"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8A07222"/>
    <w:multiLevelType w:val="multilevel"/>
    <w:tmpl w:val="78A072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0"/>
  </w:num>
  <w:num w:numId="3">
    <w:abstractNumId w:val="6"/>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2MDJhNDViYWU1OTQ4Y2UxMjg3MWUxZmM1NzllNWYifQ=="/>
  </w:docVars>
  <w:rsids>
    <w:rsidRoot w:val="003447BF"/>
    <w:rsid w:val="0000023A"/>
    <w:rsid w:val="00002207"/>
    <w:rsid w:val="0000340B"/>
    <w:rsid w:val="000035F7"/>
    <w:rsid w:val="00003E70"/>
    <w:rsid w:val="00003EA6"/>
    <w:rsid w:val="000048DB"/>
    <w:rsid w:val="000056AD"/>
    <w:rsid w:val="00006391"/>
    <w:rsid w:val="000066B1"/>
    <w:rsid w:val="00007938"/>
    <w:rsid w:val="000109D5"/>
    <w:rsid w:val="00010C85"/>
    <w:rsid w:val="000126A7"/>
    <w:rsid w:val="00013B94"/>
    <w:rsid w:val="00013CCE"/>
    <w:rsid w:val="00013EAD"/>
    <w:rsid w:val="000140D2"/>
    <w:rsid w:val="00015473"/>
    <w:rsid w:val="00016CB2"/>
    <w:rsid w:val="000176E1"/>
    <w:rsid w:val="0002035A"/>
    <w:rsid w:val="000203CA"/>
    <w:rsid w:val="00022BFC"/>
    <w:rsid w:val="000235F1"/>
    <w:rsid w:val="00027A64"/>
    <w:rsid w:val="000305C9"/>
    <w:rsid w:val="00031202"/>
    <w:rsid w:val="00031718"/>
    <w:rsid w:val="0003264D"/>
    <w:rsid w:val="00033243"/>
    <w:rsid w:val="00034F4C"/>
    <w:rsid w:val="00035188"/>
    <w:rsid w:val="00035689"/>
    <w:rsid w:val="00035E1B"/>
    <w:rsid w:val="00036797"/>
    <w:rsid w:val="000368DB"/>
    <w:rsid w:val="00036978"/>
    <w:rsid w:val="00036C95"/>
    <w:rsid w:val="000370BC"/>
    <w:rsid w:val="00037D6C"/>
    <w:rsid w:val="00042463"/>
    <w:rsid w:val="000433A7"/>
    <w:rsid w:val="0004373A"/>
    <w:rsid w:val="00043FE0"/>
    <w:rsid w:val="00044C9D"/>
    <w:rsid w:val="00046197"/>
    <w:rsid w:val="0004713F"/>
    <w:rsid w:val="00047B87"/>
    <w:rsid w:val="00050A47"/>
    <w:rsid w:val="00050D56"/>
    <w:rsid w:val="00050FAE"/>
    <w:rsid w:val="00051ABB"/>
    <w:rsid w:val="0005230D"/>
    <w:rsid w:val="00052373"/>
    <w:rsid w:val="0005298D"/>
    <w:rsid w:val="00053A21"/>
    <w:rsid w:val="00053A3B"/>
    <w:rsid w:val="00054226"/>
    <w:rsid w:val="000547D0"/>
    <w:rsid w:val="000551E5"/>
    <w:rsid w:val="000602B2"/>
    <w:rsid w:val="00060C5E"/>
    <w:rsid w:val="0006147C"/>
    <w:rsid w:val="0006230D"/>
    <w:rsid w:val="000629E2"/>
    <w:rsid w:val="00062C50"/>
    <w:rsid w:val="00062D25"/>
    <w:rsid w:val="00063CA3"/>
    <w:rsid w:val="00064E83"/>
    <w:rsid w:val="00066470"/>
    <w:rsid w:val="00066685"/>
    <w:rsid w:val="000702C7"/>
    <w:rsid w:val="0007042D"/>
    <w:rsid w:val="000711E0"/>
    <w:rsid w:val="000711E8"/>
    <w:rsid w:val="000713FA"/>
    <w:rsid w:val="00071B86"/>
    <w:rsid w:val="00072124"/>
    <w:rsid w:val="00072B98"/>
    <w:rsid w:val="00073F28"/>
    <w:rsid w:val="00074924"/>
    <w:rsid w:val="000758F4"/>
    <w:rsid w:val="00075EE4"/>
    <w:rsid w:val="00076460"/>
    <w:rsid w:val="000769C0"/>
    <w:rsid w:val="0008030B"/>
    <w:rsid w:val="0008074A"/>
    <w:rsid w:val="00080FDE"/>
    <w:rsid w:val="00080FEA"/>
    <w:rsid w:val="00081392"/>
    <w:rsid w:val="000825CD"/>
    <w:rsid w:val="00082C65"/>
    <w:rsid w:val="00082E41"/>
    <w:rsid w:val="00083710"/>
    <w:rsid w:val="00083C90"/>
    <w:rsid w:val="00083F30"/>
    <w:rsid w:val="00084236"/>
    <w:rsid w:val="000850E9"/>
    <w:rsid w:val="000859E7"/>
    <w:rsid w:val="00085F92"/>
    <w:rsid w:val="00086313"/>
    <w:rsid w:val="00086CF7"/>
    <w:rsid w:val="00087562"/>
    <w:rsid w:val="00087E9B"/>
    <w:rsid w:val="000903E0"/>
    <w:rsid w:val="0009085D"/>
    <w:rsid w:val="000915B5"/>
    <w:rsid w:val="0009223D"/>
    <w:rsid w:val="000924E1"/>
    <w:rsid w:val="00092ABD"/>
    <w:rsid w:val="00093597"/>
    <w:rsid w:val="00093BE6"/>
    <w:rsid w:val="00093F23"/>
    <w:rsid w:val="000940E3"/>
    <w:rsid w:val="00095825"/>
    <w:rsid w:val="000977D2"/>
    <w:rsid w:val="000A23F5"/>
    <w:rsid w:val="000A2765"/>
    <w:rsid w:val="000A3F5B"/>
    <w:rsid w:val="000A424B"/>
    <w:rsid w:val="000A5072"/>
    <w:rsid w:val="000A6504"/>
    <w:rsid w:val="000A70C0"/>
    <w:rsid w:val="000A70F5"/>
    <w:rsid w:val="000A76FF"/>
    <w:rsid w:val="000A79E8"/>
    <w:rsid w:val="000B005C"/>
    <w:rsid w:val="000B06EC"/>
    <w:rsid w:val="000B1727"/>
    <w:rsid w:val="000B1DF7"/>
    <w:rsid w:val="000B2779"/>
    <w:rsid w:val="000B3DAF"/>
    <w:rsid w:val="000B47AD"/>
    <w:rsid w:val="000B517B"/>
    <w:rsid w:val="000B6146"/>
    <w:rsid w:val="000B6DD8"/>
    <w:rsid w:val="000C0825"/>
    <w:rsid w:val="000C17A9"/>
    <w:rsid w:val="000C3ED3"/>
    <w:rsid w:val="000C482E"/>
    <w:rsid w:val="000C4D58"/>
    <w:rsid w:val="000C59C7"/>
    <w:rsid w:val="000C5F67"/>
    <w:rsid w:val="000C6390"/>
    <w:rsid w:val="000C6B8A"/>
    <w:rsid w:val="000C79E7"/>
    <w:rsid w:val="000C7F44"/>
    <w:rsid w:val="000C7F80"/>
    <w:rsid w:val="000D0155"/>
    <w:rsid w:val="000D0324"/>
    <w:rsid w:val="000D14A9"/>
    <w:rsid w:val="000D1895"/>
    <w:rsid w:val="000D2F21"/>
    <w:rsid w:val="000D486A"/>
    <w:rsid w:val="000D486E"/>
    <w:rsid w:val="000D4D7C"/>
    <w:rsid w:val="000D4D91"/>
    <w:rsid w:val="000D4EA2"/>
    <w:rsid w:val="000D55C4"/>
    <w:rsid w:val="000D5E0D"/>
    <w:rsid w:val="000D6F72"/>
    <w:rsid w:val="000D7392"/>
    <w:rsid w:val="000D7A5B"/>
    <w:rsid w:val="000E0D71"/>
    <w:rsid w:val="000E2607"/>
    <w:rsid w:val="000E31DA"/>
    <w:rsid w:val="000E3266"/>
    <w:rsid w:val="000E3A8A"/>
    <w:rsid w:val="000E406C"/>
    <w:rsid w:val="000E444B"/>
    <w:rsid w:val="000E474D"/>
    <w:rsid w:val="000E5A9F"/>
    <w:rsid w:val="000E5C83"/>
    <w:rsid w:val="000F0216"/>
    <w:rsid w:val="000F02A3"/>
    <w:rsid w:val="000F1557"/>
    <w:rsid w:val="000F1864"/>
    <w:rsid w:val="000F259B"/>
    <w:rsid w:val="000F379E"/>
    <w:rsid w:val="000F42DF"/>
    <w:rsid w:val="000F456F"/>
    <w:rsid w:val="000F47D9"/>
    <w:rsid w:val="000F513A"/>
    <w:rsid w:val="000F6DA9"/>
    <w:rsid w:val="000F7555"/>
    <w:rsid w:val="000F7840"/>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354F"/>
    <w:rsid w:val="00113CE5"/>
    <w:rsid w:val="00114457"/>
    <w:rsid w:val="00114A6A"/>
    <w:rsid w:val="00114E84"/>
    <w:rsid w:val="0011558A"/>
    <w:rsid w:val="001160D8"/>
    <w:rsid w:val="00120F1C"/>
    <w:rsid w:val="001228DF"/>
    <w:rsid w:val="001228FF"/>
    <w:rsid w:val="00123E58"/>
    <w:rsid w:val="00123EBD"/>
    <w:rsid w:val="001244A8"/>
    <w:rsid w:val="001258FA"/>
    <w:rsid w:val="001263DC"/>
    <w:rsid w:val="0012648F"/>
    <w:rsid w:val="0012656C"/>
    <w:rsid w:val="0012708D"/>
    <w:rsid w:val="00127270"/>
    <w:rsid w:val="001302DE"/>
    <w:rsid w:val="0013033C"/>
    <w:rsid w:val="001306E4"/>
    <w:rsid w:val="00131E0F"/>
    <w:rsid w:val="001328C8"/>
    <w:rsid w:val="00133BAB"/>
    <w:rsid w:val="00133CD8"/>
    <w:rsid w:val="0013423B"/>
    <w:rsid w:val="00134F74"/>
    <w:rsid w:val="0013578D"/>
    <w:rsid w:val="0013625A"/>
    <w:rsid w:val="00136356"/>
    <w:rsid w:val="0013681A"/>
    <w:rsid w:val="001369FF"/>
    <w:rsid w:val="0014056C"/>
    <w:rsid w:val="0014122C"/>
    <w:rsid w:val="00142434"/>
    <w:rsid w:val="0014368D"/>
    <w:rsid w:val="001450B9"/>
    <w:rsid w:val="00146A76"/>
    <w:rsid w:val="001471B2"/>
    <w:rsid w:val="001471D4"/>
    <w:rsid w:val="0015024C"/>
    <w:rsid w:val="00152E22"/>
    <w:rsid w:val="0015365C"/>
    <w:rsid w:val="001536DD"/>
    <w:rsid w:val="00154D0D"/>
    <w:rsid w:val="00156333"/>
    <w:rsid w:val="00156A1E"/>
    <w:rsid w:val="00157933"/>
    <w:rsid w:val="00157F55"/>
    <w:rsid w:val="001608A1"/>
    <w:rsid w:val="00160CA8"/>
    <w:rsid w:val="00160CB4"/>
    <w:rsid w:val="00161267"/>
    <w:rsid w:val="00161531"/>
    <w:rsid w:val="00161CFF"/>
    <w:rsid w:val="00161D40"/>
    <w:rsid w:val="00161DA3"/>
    <w:rsid w:val="00162435"/>
    <w:rsid w:val="001637D7"/>
    <w:rsid w:val="0016432A"/>
    <w:rsid w:val="001648E0"/>
    <w:rsid w:val="00164ED6"/>
    <w:rsid w:val="001652C8"/>
    <w:rsid w:val="001656BB"/>
    <w:rsid w:val="00166452"/>
    <w:rsid w:val="001708B6"/>
    <w:rsid w:val="00171559"/>
    <w:rsid w:val="00172ADC"/>
    <w:rsid w:val="00175189"/>
    <w:rsid w:val="00177487"/>
    <w:rsid w:val="00177627"/>
    <w:rsid w:val="001778BA"/>
    <w:rsid w:val="00177CEC"/>
    <w:rsid w:val="001801B1"/>
    <w:rsid w:val="00180DE7"/>
    <w:rsid w:val="0018208D"/>
    <w:rsid w:val="0018342F"/>
    <w:rsid w:val="00184A4E"/>
    <w:rsid w:val="001851E0"/>
    <w:rsid w:val="001853C2"/>
    <w:rsid w:val="00185E90"/>
    <w:rsid w:val="00185FEE"/>
    <w:rsid w:val="00187848"/>
    <w:rsid w:val="00187F43"/>
    <w:rsid w:val="0019057F"/>
    <w:rsid w:val="001917A0"/>
    <w:rsid w:val="00191F3F"/>
    <w:rsid w:val="0019365A"/>
    <w:rsid w:val="001953D9"/>
    <w:rsid w:val="00196915"/>
    <w:rsid w:val="00197DDB"/>
    <w:rsid w:val="001A0476"/>
    <w:rsid w:val="001A0538"/>
    <w:rsid w:val="001A3503"/>
    <w:rsid w:val="001A3DE7"/>
    <w:rsid w:val="001A5BF4"/>
    <w:rsid w:val="001A5DBA"/>
    <w:rsid w:val="001A64F4"/>
    <w:rsid w:val="001A703C"/>
    <w:rsid w:val="001A70BD"/>
    <w:rsid w:val="001A7F57"/>
    <w:rsid w:val="001B00E7"/>
    <w:rsid w:val="001B1B87"/>
    <w:rsid w:val="001B6A93"/>
    <w:rsid w:val="001C0DAC"/>
    <w:rsid w:val="001C109C"/>
    <w:rsid w:val="001C234A"/>
    <w:rsid w:val="001C394F"/>
    <w:rsid w:val="001C4A9E"/>
    <w:rsid w:val="001C6F2A"/>
    <w:rsid w:val="001C70F9"/>
    <w:rsid w:val="001C7893"/>
    <w:rsid w:val="001C7D91"/>
    <w:rsid w:val="001D065F"/>
    <w:rsid w:val="001D06C5"/>
    <w:rsid w:val="001D09BD"/>
    <w:rsid w:val="001D18CF"/>
    <w:rsid w:val="001D1DF0"/>
    <w:rsid w:val="001D5539"/>
    <w:rsid w:val="001D6A5D"/>
    <w:rsid w:val="001D71CD"/>
    <w:rsid w:val="001E174C"/>
    <w:rsid w:val="001E1FE5"/>
    <w:rsid w:val="001E2AFF"/>
    <w:rsid w:val="001E345D"/>
    <w:rsid w:val="001E39F6"/>
    <w:rsid w:val="001E4164"/>
    <w:rsid w:val="001E4691"/>
    <w:rsid w:val="001E516F"/>
    <w:rsid w:val="001E6646"/>
    <w:rsid w:val="001E70F0"/>
    <w:rsid w:val="001F0144"/>
    <w:rsid w:val="001F03C3"/>
    <w:rsid w:val="001F0E74"/>
    <w:rsid w:val="001F11D2"/>
    <w:rsid w:val="001F139E"/>
    <w:rsid w:val="001F245F"/>
    <w:rsid w:val="001F25F8"/>
    <w:rsid w:val="001F2BB0"/>
    <w:rsid w:val="001F337F"/>
    <w:rsid w:val="001F3A41"/>
    <w:rsid w:val="001F3B10"/>
    <w:rsid w:val="001F46E7"/>
    <w:rsid w:val="001F6864"/>
    <w:rsid w:val="001F7DFE"/>
    <w:rsid w:val="0020091A"/>
    <w:rsid w:val="00202E36"/>
    <w:rsid w:val="00203CF7"/>
    <w:rsid w:val="00203E0E"/>
    <w:rsid w:val="002047D2"/>
    <w:rsid w:val="002049D9"/>
    <w:rsid w:val="00205850"/>
    <w:rsid w:val="0020679E"/>
    <w:rsid w:val="002071C3"/>
    <w:rsid w:val="002106C9"/>
    <w:rsid w:val="00211DB2"/>
    <w:rsid w:val="00211EEF"/>
    <w:rsid w:val="00216AA3"/>
    <w:rsid w:val="00217CE3"/>
    <w:rsid w:val="002230A3"/>
    <w:rsid w:val="00223BB6"/>
    <w:rsid w:val="00223D75"/>
    <w:rsid w:val="0022670E"/>
    <w:rsid w:val="002272FC"/>
    <w:rsid w:val="00227E8F"/>
    <w:rsid w:val="00231521"/>
    <w:rsid w:val="002332B2"/>
    <w:rsid w:val="002332EF"/>
    <w:rsid w:val="00234927"/>
    <w:rsid w:val="00234ABD"/>
    <w:rsid w:val="00234FBE"/>
    <w:rsid w:val="00234FC1"/>
    <w:rsid w:val="00236056"/>
    <w:rsid w:val="002364C8"/>
    <w:rsid w:val="0023657F"/>
    <w:rsid w:val="00236F49"/>
    <w:rsid w:val="00237B23"/>
    <w:rsid w:val="00237E16"/>
    <w:rsid w:val="002401A4"/>
    <w:rsid w:val="00240742"/>
    <w:rsid w:val="00240890"/>
    <w:rsid w:val="0024103C"/>
    <w:rsid w:val="00241470"/>
    <w:rsid w:val="002418C4"/>
    <w:rsid w:val="0024334D"/>
    <w:rsid w:val="002437BF"/>
    <w:rsid w:val="00243AF4"/>
    <w:rsid w:val="002444B8"/>
    <w:rsid w:val="00244ECE"/>
    <w:rsid w:val="00245A2F"/>
    <w:rsid w:val="00245CCD"/>
    <w:rsid w:val="00245F4A"/>
    <w:rsid w:val="00246E64"/>
    <w:rsid w:val="00247266"/>
    <w:rsid w:val="00247518"/>
    <w:rsid w:val="00250A91"/>
    <w:rsid w:val="002516D9"/>
    <w:rsid w:val="0025278D"/>
    <w:rsid w:val="00253410"/>
    <w:rsid w:val="0025347E"/>
    <w:rsid w:val="00253B8D"/>
    <w:rsid w:val="00253DB1"/>
    <w:rsid w:val="0025474D"/>
    <w:rsid w:val="00254EBA"/>
    <w:rsid w:val="002553C4"/>
    <w:rsid w:val="0025548A"/>
    <w:rsid w:val="00256532"/>
    <w:rsid w:val="00256680"/>
    <w:rsid w:val="00256758"/>
    <w:rsid w:val="0025694B"/>
    <w:rsid w:val="002575B7"/>
    <w:rsid w:val="00257BC9"/>
    <w:rsid w:val="00257D14"/>
    <w:rsid w:val="0026150E"/>
    <w:rsid w:val="00261D7B"/>
    <w:rsid w:val="00261FDD"/>
    <w:rsid w:val="002638BB"/>
    <w:rsid w:val="0026442A"/>
    <w:rsid w:val="002650E7"/>
    <w:rsid w:val="00270705"/>
    <w:rsid w:val="0027177D"/>
    <w:rsid w:val="00271A2C"/>
    <w:rsid w:val="002726E6"/>
    <w:rsid w:val="0027316E"/>
    <w:rsid w:val="002740CA"/>
    <w:rsid w:val="00274153"/>
    <w:rsid w:val="00274683"/>
    <w:rsid w:val="00275B67"/>
    <w:rsid w:val="002777B6"/>
    <w:rsid w:val="00277AAF"/>
    <w:rsid w:val="00277FD4"/>
    <w:rsid w:val="002806B7"/>
    <w:rsid w:val="00281775"/>
    <w:rsid w:val="0028179E"/>
    <w:rsid w:val="00281AA6"/>
    <w:rsid w:val="00283C3D"/>
    <w:rsid w:val="00285B8B"/>
    <w:rsid w:val="00285CB2"/>
    <w:rsid w:val="00285D9D"/>
    <w:rsid w:val="00286D70"/>
    <w:rsid w:val="002908CC"/>
    <w:rsid w:val="002922B8"/>
    <w:rsid w:val="00292AAB"/>
    <w:rsid w:val="00292AEF"/>
    <w:rsid w:val="00293E14"/>
    <w:rsid w:val="00295456"/>
    <w:rsid w:val="00296619"/>
    <w:rsid w:val="00296699"/>
    <w:rsid w:val="00297CE2"/>
    <w:rsid w:val="002A0001"/>
    <w:rsid w:val="002A00A4"/>
    <w:rsid w:val="002A00F9"/>
    <w:rsid w:val="002A2078"/>
    <w:rsid w:val="002A2153"/>
    <w:rsid w:val="002A2208"/>
    <w:rsid w:val="002A22D5"/>
    <w:rsid w:val="002A2AAF"/>
    <w:rsid w:val="002A2C3F"/>
    <w:rsid w:val="002A3F0B"/>
    <w:rsid w:val="002A3FFA"/>
    <w:rsid w:val="002A421A"/>
    <w:rsid w:val="002A59F7"/>
    <w:rsid w:val="002A5D95"/>
    <w:rsid w:val="002A5DB0"/>
    <w:rsid w:val="002A63F2"/>
    <w:rsid w:val="002B01E2"/>
    <w:rsid w:val="002B12F1"/>
    <w:rsid w:val="002B18B8"/>
    <w:rsid w:val="002B1CE6"/>
    <w:rsid w:val="002B2899"/>
    <w:rsid w:val="002B2BAF"/>
    <w:rsid w:val="002B4CDF"/>
    <w:rsid w:val="002B5016"/>
    <w:rsid w:val="002B5135"/>
    <w:rsid w:val="002B5881"/>
    <w:rsid w:val="002B5BE4"/>
    <w:rsid w:val="002B6529"/>
    <w:rsid w:val="002B6E49"/>
    <w:rsid w:val="002B7B69"/>
    <w:rsid w:val="002C017E"/>
    <w:rsid w:val="002C05CA"/>
    <w:rsid w:val="002C1DA8"/>
    <w:rsid w:val="002C243C"/>
    <w:rsid w:val="002C296F"/>
    <w:rsid w:val="002C2972"/>
    <w:rsid w:val="002C364F"/>
    <w:rsid w:val="002C44D2"/>
    <w:rsid w:val="002C4507"/>
    <w:rsid w:val="002C4A24"/>
    <w:rsid w:val="002C5561"/>
    <w:rsid w:val="002C625E"/>
    <w:rsid w:val="002C662D"/>
    <w:rsid w:val="002C7038"/>
    <w:rsid w:val="002C7783"/>
    <w:rsid w:val="002D037B"/>
    <w:rsid w:val="002D046C"/>
    <w:rsid w:val="002D15B4"/>
    <w:rsid w:val="002D185A"/>
    <w:rsid w:val="002D1F57"/>
    <w:rsid w:val="002D2A91"/>
    <w:rsid w:val="002D2F63"/>
    <w:rsid w:val="002D32FC"/>
    <w:rsid w:val="002D34FF"/>
    <w:rsid w:val="002D3628"/>
    <w:rsid w:val="002D4284"/>
    <w:rsid w:val="002D478F"/>
    <w:rsid w:val="002D50D1"/>
    <w:rsid w:val="002D5708"/>
    <w:rsid w:val="002D59E9"/>
    <w:rsid w:val="002D5AF4"/>
    <w:rsid w:val="002D5D10"/>
    <w:rsid w:val="002D6F72"/>
    <w:rsid w:val="002D700F"/>
    <w:rsid w:val="002D79E9"/>
    <w:rsid w:val="002D7D93"/>
    <w:rsid w:val="002E1A3C"/>
    <w:rsid w:val="002E1F0C"/>
    <w:rsid w:val="002E206E"/>
    <w:rsid w:val="002E24B9"/>
    <w:rsid w:val="002E2A22"/>
    <w:rsid w:val="002E3F33"/>
    <w:rsid w:val="002E44B5"/>
    <w:rsid w:val="002E4DD1"/>
    <w:rsid w:val="002E556A"/>
    <w:rsid w:val="002E6683"/>
    <w:rsid w:val="002E66B1"/>
    <w:rsid w:val="002E6C06"/>
    <w:rsid w:val="002E7155"/>
    <w:rsid w:val="002E74EB"/>
    <w:rsid w:val="002E7666"/>
    <w:rsid w:val="002E78FD"/>
    <w:rsid w:val="002F0B0B"/>
    <w:rsid w:val="002F0C2A"/>
    <w:rsid w:val="002F336F"/>
    <w:rsid w:val="002F3AD1"/>
    <w:rsid w:val="002F3E8D"/>
    <w:rsid w:val="002F48AC"/>
    <w:rsid w:val="002F4AC5"/>
    <w:rsid w:val="002F4F1E"/>
    <w:rsid w:val="002F7B85"/>
    <w:rsid w:val="002F7BA7"/>
    <w:rsid w:val="002F7BFC"/>
    <w:rsid w:val="0030183C"/>
    <w:rsid w:val="00302CB6"/>
    <w:rsid w:val="00303AD0"/>
    <w:rsid w:val="0030419C"/>
    <w:rsid w:val="00304399"/>
    <w:rsid w:val="0030440D"/>
    <w:rsid w:val="00304CB5"/>
    <w:rsid w:val="0030503D"/>
    <w:rsid w:val="003058C6"/>
    <w:rsid w:val="003058F1"/>
    <w:rsid w:val="003059FD"/>
    <w:rsid w:val="0030603D"/>
    <w:rsid w:val="00306E10"/>
    <w:rsid w:val="00311F53"/>
    <w:rsid w:val="00312AD3"/>
    <w:rsid w:val="00312C29"/>
    <w:rsid w:val="00312F5C"/>
    <w:rsid w:val="00313F9C"/>
    <w:rsid w:val="003154DE"/>
    <w:rsid w:val="0031577A"/>
    <w:rsid w:val="00316501"/>
    <w:rsid w:val="00317434"/>
    <w:rsid w:val="0031770E"/>
    <w:rsid w:val="003208EE"/>
    <w:rsid w:val="003210EA"/>
    <w:rsid w:val="0032300C"/>
    <w:rsid w:val="00323CEF"/>
    <w:rsid w:val="00323D93"/>
    <w:rsid w:val="003248A8"/>
    <w:rsid w:val="00324AF8"/>
    <w:rsid w:val="003250CA"/>
    <w:rsid w:val="003275B3"/>
    <w:rsid w:val="003275C9"/>
    <w:rsid w:val="003276D0"/>
    <w:rsid w:val="00327747"/>
    <w:rsid w:val="00327895"/>
    <w:rsid w:val="00327E98"/>
    <w:rsid w:val="00331553"/>
    <w:rsid w:val="00331F80"/>
    <w:rsid w:val="00332D92"/>
    <w:rsid w:val="003331CD"/>
    <w:rsid w:val="00333EF5"/>
    <w:rsid w:val="00334FCD"/>
    <w:rsid w:val="00335FDD"/>
    <w:rsid w:val="00336698"/>
    <w:rsid w:val="00336DF3"/>
    <w:rsid w:val="00336E75"/>
    <w:rsid w:val="0033708F"/>
    <w:rsid w:val="003372AA"/>
    <w:rsid w:val="00337328"/>
    <w:rsid w:val="00340410"/>
    <w:rsid w:val="00340911"/>
    <w:rsid w:val="00341DDB"/>
    <w:rsid w:val="00342F07"/>
    <w:rsid w:val="00343CD4"/>
    <w:rsid w:val="003447BF"/>
    <w:rsid w:val="00344B0C"/>
    <w:rsid w:val="003453AC"/>
    <w:rsid w:val="003453B7"/>
    <w:rsid w:val="0034541E"/>
    <w:rsid w:val="003456EA"/>
    <w:rsid w:val="00346034"/>
    <w:rsid w:val="00347301"/>
    <w:rsid w:val="00347551"/>
    <w:rsid w:val="003475BD"/>
    <w:rsid w:val="00350D6A"/>
    <w:rsid w:val="00351071"/>
    <w:rsid w:val="003517BF"/>
    <w:rsid w:val="00352BCF"/>
    <w:rsid w:val="00353563"/>
    <w:rsid w:val="003539D5"/>
    <w:rsid w:val="00354518"/>
    <w:rsid w:val="00355532"/>
    <w:rsid w:val="00355F34"/>
    <w:rsid w:val="00357707"/>
    <w:rsid w:val="00360B4A"/>
    <w:rsid w:val="00360D4A"/>
    <w:rsid w:val="003627B9"/>
    <w:rsid w:val="00362AA0"/>
    <w:rsid w:val="00363894"/>
    <w:rsid w:val="00366DBA"/>
    <w:rsid w:val="003670E6"/>
    <w:rsid w:val="003704BC"/>
    <w:rsid w:val="003705D4"/>
    <w:rsid w:val="003712A8"/>
    <w:rsid w:val="003715C5"/>
    <w:rsid w:val="0037221C"/>
    <w:rsid w:val="00372CDD"/>
    <w:rsid w:val="00372F98"/>
    <w:rsid w:val="003730E5"/>
    <w:rsid w:val="0037345E"/>
    <w:rsid w:val="003738A3"/>
    <w:rsid w:val="0037492B"/>
    <w:rsid w:val="00376454"/>
    <w:rsid w:val="00376CB6"/>
    <w:rsid w:val="00377C5E"/>
    <w:rsid w:val="00380AC9"/>
    <w:rsid w:val="00380F99"/>
    <w:rsid w:val="003814D2"/>
    <w:rsid w:val="0038248B"/>
    <w:rsid w:val="00382E34"/>
    <w:rsid w:val="00383EDC"/>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485"/>
    <w:rsid w:val="003A0D2D"/>
    <w:rsid w:val="003A157A"/>
    <w:rsid w:val="003A1CA9"/>
    <w:rsid w:val="003A22A0"/>
    <w:rsid w:val="003A31B0"/>
    <w:rsid w:val="003A4141"/>
    <w:rsid w:val="003A4916"/>
    <w:rsid w:val="003A5AB3"/>
    <w:rsid w:val="003A616E"/>
    <w:rsid w:val="003A6EA0"/>
    <w:rsid w:val="003A7020"/>
    <w:rsid w:val="003B030C"/>
    <w:rsid w:val="003B0768"/>
    <w:rsid w:val="003B12E1"/>
    <w:rsid w:val="003B12F5"/>
    <w:rsid w:val="003B1D61"/>
    <w:rsid w:val="003B2025"/>
    <w:rsid w:val="003B2990"/>
    <w:rsid w:val="003B4186"/>
    <w:rsid w:val="003B43AE"/>
    <w:rsid w:val="003B448F"/>
    <w:rsid w:val="003B4955"/>
    <w:rsid w:val="003B4A6D"/>
    <w:rsid w:val="003B554A"/>
    <w:rsid w:val="003B6086"/>
    <w:rsid w:val="003B694C"/>
    <w:rsid w:val="003B6F25"/>
    <w:rsid w:val="003B7877"/>
    <w:rsid w:val="003B7DF3"/>
    <w:rsid w:val="003C0548"/>
    <w:rsid w:val="003C0D3E"/>
    <w:rsid w:val="003C0FB6"/>
    <w:rsid w:val="003C1101"/>
    <w:rsid w:val="003C14AD"/>
    <w:rsid w:val="003C1A89"/>
    <w:rsid w:val="003C2ADE"/>
    <w:rsid w:val="003C43BB"/>
    <w:rsid w:val="003C4BB9"/>
    <w:rsid w:val="003C51CE"/>
    <w:rsid w:val="003C5EE4"/>
    <w:rsid w:val="003C7426"/>
    <w:rsid w:val="003C7AC5"/>
    <w:rsid w:val="003D06B5"/>
    <w:rsid w:val="003D1361"/>
    <w:rsid w:val="003D24E4"/>
    <w:rsid w:val="003D2CAD"/>
    <w:rsid w:val="003D32CB"/>
    <w:rsid w:val="003D3562"/>
    <w:rsid w:val="003D427E"/>
    <w:rsid w:val="003D5F94"/>
    <w:rsid w:val="003D692F"/>
    <w:rsid w:val="003D77DF"/>
    <w:rsid w:val="003D7BF1"/>
    <w:rsid w:val="003D7E97"/>
    <w:rsid w:val="003E079B"/>
    <w:rsid w:val="003E1132"/>
    <w:rsid w:val="003E214B"/>
    <w:rsid w:val="003E2B07"/>
    <w:rsid w:val="003E2CD9"/>
    <w:rsid w:val="003E2F40"/>
    <w:rsid w:val="003E499F"/>
    <w:rsid w:val="003E5280"/>
    <w:rsid w:val="003E5D1E"/>
    <w:rsid w:val="003E61F1"/>
    <w:rsid w:val="003E7138"/>
    <w:rsid w:val="003E754F"/>
    <w:rsid w:val="003E7A55"/>
    <w:rsid w:val="003F01B1"/>
    <w:rsid w:val="003F1410"/>
    <w:rsid w:val="003F1823"/>
    <w:rsid w:val="003F18EF"/>
    <w:rsid w:val="003F2A8C"/>
    <w:rsid w:val="003F4857"/>
    <w:rsid w:val="003F698E"/>
    <w:rsid w:val="003F7389"/>
    <w:rsid w:val="00400481"/>
    <w:rsid w:val="004006CB"/>
    <w:rsid w:val="00402B19"/>
    <w:rsid w:val="0040376A"/>
    <w:rsid w:val="004037F0"/>
    <w:rsid w:val="00404624"/>
    <w:rsid w:val="00404A6E"/>
    <w:rsid w:val="00404B70"/>
    <w:rsid w:val="00404EE5"/>
    <w:rsid w:val="00405CED"/>
    <w:rsid w:val="00405ED8"/>
    <w:rsid w:val="004060A3"/>
    <w:rsid w:val="00406610"/>
    <w:rsid w:val="004066C6"/>
    <w:rsid w:val="00406D84"/>
    <w:rsid w:val="004103AB"/>
    <w:rsid w:val="00410BB9"/>
    <w:rsid w:val="004114E0"/>
    <w:rsid w:val="00411996"/>
    <w:rsid w:val="00411CDC"/>
    <w:rsid w:val="00412DC6"/>
    <w:rsid w:val="00413830"/>
    <w:rsid w:val="00413CB8"/>
    <w:rsid w:val="00414A75"/>
    <w:rsid w:val="0041517A"/>
    <w:rsid w:val="00417894"/>
    <w:rsid w:val="00417AE1"/>
    <w:rsid w:val="00417D08"/>
    <w:rsid w:val="0042005F"/>
    <w:rsid w:val="00420A69"/>
    <w:rsid w:val="004210D1"/>
    <w:rsid w:val="00421609"/>
    <w:rsid w:val="00422042"/>
    <w:rsid w:val="00422C17"/>
    <w:rsid w:val="00425890"/>
    <w:rsid w:val="0042623C"/>
    <w:rsid w:val="00426915"/>
    <w:rsid w:val="00426AFE"/>
    <w:rsid w:val="00426E1F"/>
    <w:rsid w:val="0042794B"/>
    <w:rsid w:val="00427FCD"/>
    <w:rsid w:val="004318F8"/>
    <w:rsid w:val="00431BD5"/>
    <w:rsid w:val="00432D73"/>
    <w:rsid w:val="00432D9A"/>
    <w:rsid w:val="00432F85"/>
    <w:rsid w:val="004331B4"/>
    <w:rsid w:val="004338F3"/>
    <w:rsid w:val="004339F6"/>
    <w:rsid w:val="00433B7C"/>
    <w:rsid w:val="00434598"/>
    <w:rsid w:val="00434883"/>
    <w:rsid w:val="0043550A"/>
    <w:rsid w:val="00435C8F"/>
    <w:rsid w:val="00437FAC"/>
    <w:rsid w:val="004408FF"/>
    <w:rsid w:val="00440B29"/>
    <w:rsid w:val="00441522"/>
    <w:rsid w:val="004419A1"/>
    <w:rsid w:val="00441D90"/>
    <w:rsid w:val="00441EA6"/>
    <w:rsid w:val="00442068"/>
    <w:rsid w:val="004438E7"/>
    <w:rsid w:val="004439A5"/>
    <w:rsid w:val="00443ED8"/>
    <w:rsid w:val="004443B1"/>
    <w:rsid w:val="00444776"/>
    <w:rsid w:val="0044543E"/>
    <w:rsid w:val="00445613"/>
    <w:rsid w:val="004461E3"/>
    <w:rsid w:val="004476A1"/>
    <w:rsid w:val="00450742"/>
    <w:rsid w:val="0045099D"/>
    <w:rsid w:val="0045181F"/>
    <w:rsid w:val="004525CF"/>
    <w:rsid w:val="00452AF5"/>
    <w:rsid w:val="00453A33"/>
    <w:rsid w:val="00454AB3"/>
    <w:rsid w:val="00454E8E"/>
    <w:rsid w:val="00455615"/>
    <w:rsid w:val="004558A9"/>
    <w:rsid w:val="004563BF"/>
    <w:rsid w:val="00456A3C"/>
    <w:rsid w:val="00456F86"/>
    <w:rsid w:val="00461D9C"/>
    <w:rsid w:val="00461E1E"/>
    <w:rsid w:val="00462BD9"/>
    <w:rsid w:val="00463340"/>
    <w:rsid w:val="00463D01"/>
    <w:rsid w:val="00463F84"/>
    <w:rsid w:val="00464298"/>
    <w:rsid w:val="00464578"/>
    <w:rsid w:val="00464654"/>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7365"/>
    <w:rsid w:val="0048077F"/>
    <w:rsid w:val="00480D01"/>
    <w:rsid w:val="0048161D"/>
    <w:rsid w:val="004832BC"/>
    <w:rsid w:val="004843CF"/>
    <w:rsid w:val="00484890"/>
    <w:rsid w:val="00484D5F"/>
    <w:rsid w:val="00485C52"/>
    <w:rsid w:val="00486766"/>
    <w:rsid w:val="00487D7A"/>
    <w:rsid w:val="00487DEE"/>
    <w:rsid w:val="00490A89"/>
    <w:rsid w:val="00491CEA"/>
    <w:rsid w:val="00492103"/>
    <w:rsid w:val="00492473"/>
    <w:rsid w:val="00492A36"/>
    <w:rsid w:val="00492D2B"/>
    <w:rsid w:val="004934C0"/>
    <w:rsid w:val="00494697"/>
    <w:rsid w:val="00494E61"/>
    <w:rsid w:val="004958F8"/>
    <w:rsid w:val="00495CBA"/>
    <w:rsid w:val="00495DBB"/>
    <w:rsid w:val="00496877"/>
    <w:rsid w:val="004A023A"/>
    <w:rsid w:val="004A141A"/>
    <w:rsid w:val="004A142B"/>
    <w:rsid w:val="004A1B0B"/>
    <w:rsid w:val="004A2863"/>
    <w:rsid w:val="004A30F1"/>
    <w:rsid w:val="004A362C"/>
    <w:rsid w:val="004A3928"/>
    <w:rsid w:val="004A67D7"/>
    <w:rsid w:val="004A78E9"/>
    <w:rsid w:val="004A7EB4"/>
    <w:rsid w:val="004B0197"/>
    <w:rsid w:val="004B09C6"/>
    <w:rsid w:val="004B2233"/>
    <w:rsid w:val="004B2F5D"/>
    <w:rsid w:val="004B31F9"/>
    <w:rsid w:val="004B3759"/>
    <w:rsid w:val="004B486A"/>
    <w:rsid w:val="004B58F5"/>
    <w:rsid w:val="004B691A"/>
    <w:rsid w:val="004B787F"/>
    <w:rsid w:val="004C0025"/>
    <w:rsid w:val="004C096A"/>
    <w:rsid w:val="004C0D82"/>
    <w:rsid w:val="004C15BD"/>
    <w:rsid w:val="004C1798"/>
    <w:rsid w:val="004C3EB7"/>
    <w:rsid w:val="004C485E"/>
    <w:rsid w:val="004C4C78"/>
    <w:rsid w:val="004C5310"/>
    <w:rsid w:val="004C5A4B"/>
    <w:rsid w:val="004C5B41"/>
    <w:rsid w:val="004C6AA1"/>
    <w:rsid w:val="004C6D3B"/>
    <w:rsid w:val="004C7285"/>
    <w:rsid w:val="004D0224"/>
    <w:rsid w:val="004D12A5"/>
    <w:rsid w:val="004D1C44"/>
    <w:rsid w:val="004D26A6"/>
    <w:rsid w:val="004D278C"/>
    <w:rsid w:val="004D286B"/>
    <w:rsid w:val="004D52BE"/>
    <w:rsid w:val="004D5F57"/>
    <w:rsid w:val="004D6094"/>
    <w:rsid w:val="004D68D1"/>
    <w:rsid w:val="004D753B"/>
    <w:rsid w:val="004D7EB9"/>
    <w:rsid w:val="004E130F"/>
    <w:rsid w:val="004E277C"/>
    <w:rsid w:val="004E3AEB"/>
    <w:rsid w:val="004E4538"/>
    <w:rsid w:val="004E5730"/>
    <w:rsid w:val="004E66C9"/>
    <w:rsid w:val="004E77B6"/>
    <w:rsid w:val="004F087B"/>
    <w:rsid w:val="004F08D6"/>
    <w:rsid w:val="004F36AB"/>
    <w:rsid w:val="004F47A8"/>
    <w:rsid w:val="004F4F80"/>
    <w:rsid w:val="004F50BC"/>
    <w:rsid w:val="004F5278"/>
    <w:rsid w:val="004F6792"/>
    <w:rsid w:val="004F726A"/>
    <w:rsid w:val="004F78CE"/>
    <w:rsid w:val="004F79EB"/>
    <w:rsid w:val="0050059D"/>
    <w:rsid w:val="00502165"/>
    <w:rsid w:val="0050287F"/>
    <w:rsid w:val="005038C5"/>
    <w:rsid w:val="00504291"/>
    <w:rsid w:val="00504912"/>
    <w:rsid w:val="00505669"/>
    <w:rsid w:val="00507DB0"/>
    <w:rsid w:val="00510353"/>
    <w:rsid w:val="005108DF"/>
    <w:rsid w:val="00510ABF"/>
    <w:rsid w:val="0051210D"/>
    <w:rsid w:val="005129D7"/>
    <w:rsid w:val="00513345"/>
    <w:rsid w:val="0051428E"/>
    <w:rsid w:val="00516023"/>
    <w:rsid w:val="0051717C"/>
    <w:rsid w:val="005207CB"/>
    <w:rsid w:val="005215CB"/>
    <w:rsid w:val="005225BE"/>
    <w:rsid w:val="005225ED"/>
    <w:rsid w:val="00522791"/>
    <w:rsid w:val="00523559"/>
    <w:rsid w:val="00523C97"/>
    <w:rsid w:val="005258B1"/>
    <w:rsid w:val="00525DCD"/>
    <w:rsid w:val="00527CA1"/>
    <w:rsid w:val="00530470"/>
    <w:rsid w:val="0053060F"/>
    <w:rsid w:val="00530F7A"/>
    <w:rsid w:val="00531445"/>
    <w:rsid w:val="00532223"/>
    <w:rsid w:val="00532407"/>
    <w:rsid w:val="005325C8"/>
    <w:rsid w:val="00532796"/>
    <w:rsid w:val="00534D16"/>
    <w:rsid w:val="00534FD6"/>
    <w:rsid w:val="00537577"/>
    <w:rsid w:val="0053797B"/>
    <w:rsid w:val="00537F86"/>
    <w:rsid w:val="00540261"/>
    <w:rsid w:val="005404C5"/>
    <w:rsid w:val="00541DDC"/>
    <w:rsid w:val="00542A86"/>
    <w:rsid w:val="005435FD"/>
    <w:rsid w:val="0054574F"/>
    <w:rsid w:val="0054704E"/>
    <w:rsid w:val="00547E54"/>
    <w:rsid w:val="0055043D"/>
    <w:rsid w:val="00550970"/>
    <w:rsid w:val="00550B76"/>
    <w:rsid w:val="00550E03"/>
    <w:rsid w:val="00551123"/>
    <w:rsid w:val="00551492"/>
    <w:rsid w:val="005515D7"/>
    <w:rsid w:val="00551D52"/>
    <w:rsid w:val="00552812"/>
    <w:rsid w:val="00552A81"/>
    <w:rsid w:val="00553E3D"/>
    <w:rsid w:val="005540F3"/>
    <w:rsid w:val="00554926"/>
    <w:rsid w:val="00555A6F"/>
    <w:rsid w:val="005563A1"/>
    <w:rsid w:val="00556897"/>
    <w:rsid w:val="0055796F"/>
    <w:rsid w:val="005606F1"/>
    <w:rsid w:val="00561069"/>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3489"/>
    <w:rsid w:val="00573BFD"/>
    <w:rsid w:val="00573C89"/>
    <w:rsid w:val="0057441F"/>
    <w:rsid w:val="0057534A"/>
    <w:rsid w:val="00575765"/>
    <w:rsid w:val="005757DC"/>
    <w:rsid w:val="00577906"/>
    <w:rsid w:val="0058006A"/>
    <w:rsid w:val="005802C4"/>
    <w:rsid w:val="00580BF4"/>
    <w:rsid w:val="00580F44"/>
    <w:rsid w:val="005819DF"/>
    <w:rsid w:val="00581E43"/>
    <w:rsid w:val="00582FC4"/>
    <w:rsid w:val="0058351A"/>
    <w:rsid w:val="00585864"/>
    <w:rsid w:val="0058593C"/>
    <w:rsid w:val="005859FB"/>
    <w:rsid w:val="00585AB5"/>
    <w:rsid w:val="00586373"/>
    <w:rsid w:val="005868BF"/>
    <w:rsid w:val="0058737F"/>
    <w:rsid w:val="005877F8"/>
    <w:rsid w:val="005901DD"/>
    <w:rsid w:val="00591322"/>
    <w:rsid w:val="005917D3"/>
    <w:rsid w:val="00591B98"/>
    <w:rsid w:val="00591E24"/>
    <w:rsid w:val="00591FD1"/>
    <w:rsid w:val="005933B6"/>
    <w:rsid w:val="0059434F"/>
    <w:rsid w:val="0059710B"/>
    <w:rsid w:val="005971A5"/>
    <w:rsid w:val="00597424"/>
    <w:rsid w:val="00597E9B"/>
    <w:rsid w:val="005A2A58"/>
    <w:rsid w:val="005A2FF5"/>
    <w:rsid w:val="005A3047"/>
    <w:rsid w:val="005A30F1"/>
    <w:rsid w:val="005A3131"/>
    <w:rsid w:val="005A31D6"/>
    <w:rsid w:val="005A3C1F"/>
    <w:rsid w:val="005A473D"/>
    <w:rsid w:val="005A56B4"/>
    <w:rsid w:val="005A58DB"/>
    <w:rsid w:val="005A58E1"/>
    <w:rsid w:val="005A5BE6"/>
    <w:rsid w:val="005A686F"/>
    <w:rsid w:val="005A7B11"/>
    <w:rsid w:val="005B02C8"/>
    <w:rsid w:val="005B1743"/>
    <w:rsid w:val="005B186A"/>
    <w:rsid w:val="005B2A43"/>
    <w:rsid w:val="005B3F35"/>
    <w:rsid w:val="005B46F9"/>
    <w:rsid w:val="005B4853"/>
    <w:rsid w:val="005B6343"/>
    <w:rsid w:val="005B7C63"/>
    <w:rsid w:val="005B7D81"/>
    <w:rsid w:val="005C0453"/>
    <w:rsid w:val="005C0CD6"/>
    <w:rsid w:val="005C1667"/>
    <w:rsid w:val="005C223C"/>
    <w:rsid w:val="005C2E7F"/>
    <w:rsid w:val="005C3168"/>
    <w:rsid w:val="005C3B53"/>
    <w:rsid w:val="005C3EBF"/>
    <w:rsid w:val="005C4288"/>
    <w:rsid w:val="005C43D6"/>
    <w:rsid w:val="005C4A27"/>
    <w:rsid w:val="005C4AA7"/>
    <w:rsid w:val="005C4BDB"/>
    <w:rsid w:val="005C54EC"/>
    <w:rsid w:val="005C67D2"/>
    <w:rsid w:val="005C7328"/>
    <w:rsid w:val="005D1119"/>
    <w:rsid w:val="005D27F2"/>
    <w:rsid w:val="005D2F1F"/>
    <w:rsid w:val="005D304D"/>
    <w:rsid w:val="005D31AB"/>
    <w:rsid w:val="005D3783"/>
    <w:rsid w:val="005D3809"/>
    <w:rsid w:val="005D460C"/>
    <w:rsid w:val="005D4C08"/>
    <w:rsid w:val="005D51D2"/>
    <w:rsid w:val="005D59EF"/>
    <w:rsid w:val="005D70B5"/>
    <w:rsid w:val="005D72A1"/>
    <w:rsid w:val="005D7CEF"/>
    <w:rsid w:val="005D7E2E"/>
    <w:rsid w:val="005E0C36"/>
    <w:rsid w:val="005E1353"/>
    <w:rsid w:val="005E1ABD"/>
    <w:rsid w:val="005E1C06"/>
    <w:rsid w:val="005E32F1"/>
    <w:rsid w:val="005E37E2"/>
    <w:rsid w:val="005E3B99"/>
    <w:rsid w:val="005E5036"/>
    <w:rsid w:val="005E50FA"/>
    <w:rsid w:val="005E57C8"/>
    <w:rsid w:val="005E5937"/>
    <w:rsid w:val="005E77EC"/>
    <w:rsid w:val="005F0E84"/>
    <w:rsid w:val="005F1243"/>
    <w:rsid w:val="005F2D69"/>
    <w:rsid w:val="005F3361"/>
    <w:rsid w:val="005F397E"/>
    <w:rsid w:val="005F42ED"/>
    <w:rsid w:val="005F571E"/>
    <w:rsid w:val="005F6EEB"/>
    <w:rsid w:val="005F707C"/>
    <w:rsid w:val="005F76A1"/>
    <w:rsid w:val="005F77FD"/>
    <w:rsid w:val="005F79B1"/>
    <w:rsid w:val="006014D7"/>
    <w:rsid w:val="0060404B"/>
    <w:rsid w:val="00604DCF"/>
    <w:rsid w:val="00606725"/>
    <w:rsid w:val="0060689B"/>
    <w:rsid w:val="00607354"/>
    <w:rsid w:val="006073AC"/>
    <w:rsid w:val="0061010C"/>
    <w:rsid w:val="00610EC5"/>
    <w:rsid w:val="00611095"/>
    <w:rsid w:val="00612106"/>
    <w:rsid w:val="006137C4"/>
    <w:rsid w:val="00614898"/>
    <w:rsid w:val="0061598C"/>
    <w:rsid w:val="00616005"/>
    <w:rsid w:val="006171F2"/>
    <w:rsid w:val="00617B4C"/>
    <w:rsid w:val="0062044E"/>
    <w:rsid w:val="006204A3"/>
    <w:rsid w:val="006211E2"/>
    <w:rsid w:val="00623088"/>
    <w:rsid w:val="00623524"/>
    <w:rsid w:val="00623739"/>
    <w:rsid w:val="00624CCB"/>
    <w:rsid w:val="0062511A"/>
    <w:rsid w:val="00625D23"/>
    <w:rsid w:val="00625D86"/>
    <w:rsid w:val="00625DBB"/>
    <w:rsid w:val="0062612A"/>
    <w:rsid w:val="00626630"/>
    <w:rsid w:val="0062699C"/>
    <w:rsid w:val="00627AA4"/>
    <w:rsid w:val="00630EA1"/>
    <w:rsid w:val="00631290"/>
    <w:rsid w:val="006320CB"/>
    <w:rsid w:val="00632470"/>
    <w:rsid w:val="006329B9"/>
    <w:rsid w:val="00632AFC"/>
    <w:rsid w:val="00632CE5"/>
    <w:rsid w:val="00633BE8"/>
    <w:rsid w:val="006348DA"/>
    <w:rsid w:val="00634CD6"/>
    <w:rsid w:val="00634E9E"/>
    <w:rsid w:val="00635B90"/>
    <w:rsid w:val="006377D1"/>
    <w:rsid w:val="00637C80"/>
    <w:rsid w:val="00637E6F"/>
    <w:rsid w:val="00640339"/>
    <w:rsid w:val="006411A5"/>
    <w:rsid w:val="00641908"/>
    <w:rsid w:val="00641C59"/>
    <w:rsid w:val="006422D1"/>
    <w:rsid w:val="0064270E"/>
    <w:rsid w:val="00642AEC"/>
    <w:rsid w:val="00642C02"/>
    <w:rsid w:val="00644051"/>
    <w:rsid w:val="00645FB2"/>
    <w:rsid w:val="0064630E"/>
    <w:rsid w:val="0064671A"/>
    <w:rsid w:val="00646B13"/>
    <w:rsid w:val="00646D0E"/>
    <w:rsid w:val="006500F2"/>
    <w:rsid w:val="0065024D"/>
    <w:rsid w:val="0065035C"/>
    <w:rsid w:val="00653556"/>
    <w:rsid w:val="00654495"/>
    <w:rsid w:val="00654FCF"/>
    <w:rsid w:val="006551F0"/>
    <w:rsid w:val="00655A50"/>
    <w:rsid w:val="006561E0"/>
    <w:rsid w:val="00656294"/>
    <w:rsid w:val="006568EC"/>
    <w:rsid w:val="006570AD"/>
    <w:rsid w:val="00660640"/>
    <w:rsid w:val="006606B7"/>
    <w:rsid w:val="0066104F"/>
    <w:rsid w:val="00661A49"/>
    <w:rsid w:val="00661EC3"/>
    <w:rsid w:val="006639D2"/>
    <w:rsid w:val="00664009"/>
    <w:rsid w:val="006643FA"/>
    <w:rsid w:val="006657CE"/>
    <w:rsid w:val="00667082"/>
    <w:rsid w:val="00670650"/>
    <w:rsid w:val="00670CC8"/>
    <w:rsid w:val="0067145D"/>
    <w:rsid w:val="006719E8"/>
    <w:rsid w:val="00671BAD"/>
    <w:rsid w:val="00672FCF"/>
    <w:rsid w:val="0067471C"/>
    <w:rsid w:val="00674A33"/>
    <w:rsid w:val="00674BE3"/>
    <w:rsid w:val="00674DF7"/>
    <w:rsid w:val="00675455"/>
    <w:rsid w:val="00675673"/>
    <w:rsid w:val="006764A1"/>
    <w:rsid w:val="006777B0"/>
    <w:rsid w:val="006778F7"/>
    <w:rsid w:val="00677917"/>
    <w:rsid w:val="00677AA0"/>
    <w:rsid w:val="0068028B"/>
    <w:rsid w:val="006802D8"/>
    <w:rsid w:val="00680874"/>
    <w:rsid w:val="00682257"/>
    <w:rsid w:val="00682704"/>
    <w:rsid w:val="00682F96"/>
    <w:rsid w:val="00683A54"/>
    <w:rsid w:val="00684283"/>
    <w:rsid w:val="006843E4"/>
    <w:rsid w:val="006844FF"/>
    <w:rsid w:val="00684EAF"/>
    <w:rsid w:val="0068557F"/>
    <w:rsid w:val="00687AA3"/>
    <w:rsid w:val="00687ED7"/>
    <w:rsid w:val="00690544"/>
    <w:rsid w:val="00692355"/>
    <w:rsid w:val="006928A7"/>
    <w:rsid w:val="00692FF4"/>
    <w:rsid w:val="006933AB"/>
    <w:rsid w:val="00693B5D"/>
    <w:rsid w:val="00693E1F"/>
    <w:rsid w:val="00694336"/>
    <w:rsid w:val="00695182"/>
    <w:rsid w:val="006956DB"/>
    <w:rsid w:val="00695E62"/>
    <w:rsid w:val="00696044"/>
    <w:rsid w:val="006963E9"/>
    <w:rsid w:val="006A046C"/>
    <w:rsid w:val="006A09C8"/>
    <w:rsid w:val="006A1DB2"/>
    <w:rsid w:val="006A2304"/>
    <w:rsid w:val="006A2993"/>
    <w:rsid w:val="006A2CF2"/>
    <w:rsid w:val="006A449C"/>
    <w:rsid w:val="006A47A3"/>
    <w:rsid w:val="006A4BA4"/>
    <w:rsid w:val="006A4EC8"/>
    <w:rsid w:val="006A4EE1"/>
    <w:rsid w:val="006A650D"/>
    <w:rsid w:val="006A6D40"/>
    <w:rsid w:val="006A75D9"/>
    <w:rsid w:val="006A7DC9"/>
    <w:rsid w:val="006B0B99"/>
    <w:rsid w:val="006B1377"/>
    <w:rsid w:val="006B1E24"/>
    <w:rsid w:val="006B1F50"/>
    <w:rsid w:val="006B2BA2"/>
    <w:rsid w:val="006B5DCE"/>
    <w:rsid w:val="006B633A"/>
    <w:rsid w:val="006B6C1C"/>
    <w:rsid w:val="006B6FA0"/>
    <w:rsid w:val="006B79DF"/>
    <w:rsid w:val="006B7CD5"/>
    <w:rsid w:val="006C0AEC"/>
    <w:rsid w:val="006C0FA6"/>
    <w:rsid w:val="006C14A8"/>
    <w:rsid w:val="006C1523"/>
    <w:rsid w:val="006C29A8"/>
    <w:rsid w:val="006C33B7"/>
    <w:rsid w:val="006C348B"/>
    <w:rsid w:val="006C5839"/>
    <w:rsid w:val="006C5C0F"/>
    <w:rsid w:val="006C5FAA"/>
    <w:rsid w:val="006C6130"/>
    <w:rsid w:val="006C63BD"/>
    <w:rsid w:val="006C72FE"/>
    <w:rsid w:val="006C770D"/>
    <w:rsid w:val="006C7812"/>
    <w:rsid w:val="006D2429"/>
    <w:rsid w:val="006D2BDC"/>
    <w:rsid w:val="006D2E9E"/>
    <w:rsid w:val="006D3D16"/>
    <w:rsid w:val="006D4A2F"/>
    <w:rsid w:val="006D57CF"/>
    <w:rsid w:val="006D585E"/>
    <w:rsid w:val="006D5B1B"/>
    <w:rsid w:val="006D6545"/>
    <w:rsid w:val="006D6805"/>
    <w:rsid w:val="006D68B9"/>
    <w:rsid w:val="006D6C51"/>
    <w:rsid w:val="006D6F56"/>
    <w:rsid w:val="006D76C2"/>
    <w:rsid w:val="006D7E84"/>
    <w:rsid w:val="006E09A9"/>
    <w:rsid w:val="006E31B2"/>
    <w:rsid w:val="006E335D"/>
    <w:rsid w:val="006E4C5B"/>
    <w:rsid w:val="006E5AF1"/>
    <w:rsid w:val="006E5C3F"/>
    <w:rsid w:val="006E5FAC"/>
    <w:rsid w:val="006E672C"/>
    <w:rsid w:val="006E71B4"/>
    <w:rsid w:val="006E73C4"/>
    <w:rsid w:val="006F0EEB"/>
    <w:rsid w:val="006F17F6"/>
    <w:rsid w:val="006F1AD4"/>
    <w:rsid w:val="006F1DCB"/>
    <w:rsid w:val="006F1F07"/>
    <w:rsid w:val="006F2AC1"/>
    <w:rsid w:val="006F4BA1"/>
    <w:rsid w:val="006F4D66"/>
    <w:rsid w:val="006F60ED"/>
    <w:rsid w:val="006F6435"/>
    <w:rsid w:val="006F71DC"/>
    <w:rsid w:val="00700FAB"/>
    <w:rsid w:val="00700FBD"/>
    <w:rsid w:val="007014C1"/>
    <w:rsid w:val="007014D0"/>
    <w:rsid w:val="007015F7"/>
    <w:rsid w:val="00701A83"/>
    <w:rsid w:val="00702A54"/>
    <w:rsid w:val="007033C6"/>
    <w:rsid w:val="007046E9"/>
    <w:rsid w:val="007047A8"/>
    <w:rsid w:val="007049FC"/>
    <w:rsid w:val="00705463"/>
    <w:rsid w:val="00705D6E"/>
    <w:rsid w:val="00706391"/>
    <w:rsid w:val="007066D7"/>
    <w:rsid w:val="00706A8B"/>
    <w:rsid w:val="00707133"/>
    <w:rsid w:val="00710395"/>
    <w:rsid w:val="00710D1D"/>
    <w:rsid w:val="00710ECF"/>
    <w:rsid w:val="00710EF6"/>
    <w:rsid w:val="00711B2C"/>
    <w:rsid w:val="0071328E"/>
    <w:rsid w:val="007139F3"/>
    <w:rsid w:val="00715110"/>
    <w:rsid w:val="007159A1"/>
    <w:rsid w:val="00715A95"/>
    <w:rsid w:val="00716B7C"/>
    <w:rsid w:val="00717961"/>
    <w:rsid w:val="007202BB"/>
    <w:rsid w:val="007202E6"/>
    <w:rsid w:val="007211EF"/>
    <w:rsid w:val="00721369"/>
    <w:rsid w:val="007213C6"/>
    <w:rsid w:val="0072186C"/>
    <w:rsid w:val="0072229A"/>
    <w:rsid w:val="00722583"/>
    <w:rsid w:val="00722943"/>
    <w:rsid w:val="00722F42"/>
    <w:rsid w:val="007234BC"/>
    <w:rsid w:val="0072361D"/>
    <w:rsid w:val="00723CE5"/>
    <w:rsid w:val="00724048"/>
    <w:rsid w:val="007243B3"/>
    <w:rsid w:val="00725C8B"/>
    <w:rsid w:val="00725FFD"/>
    <w:rsid w:val="00726A37"/>
    <w:rsid w:val="00727292"/>
    <w:rsid w:val="00730B1B"/>
    <w:rsid w:val="00731CD9"/>
    <w:rsid w:val="00731DC0"/>
    <w:rsid w:val="00731DD7"/>
    <w:rsid w:val="0073305A"/>
    <w:rsid w:val="00733E32"/>
    <w:rsid w:val="0073400C"/>
    <w:rsid w:val="00734438"/>
    <w:rsid w:val="007344E4"/>
    <w:rsid w:val="00735288"/>
    <w:rsid w:val="00735691"/>
    <w:rsid w:val="00735CC9"/>
    <w:rsid w:val="00736683"/>
    <w:rsid w:val="007368BC"/>
    <w:rsid w:val="00736948"/>
    <w:rsid w:val="00737ABA"/>
    <w:rsid w:val="00737DCF"/>
    <w:rsid w:val="00741644"/>
    <w:rsid w:val="007419A1"/>
    <w:rsid w:val="00742441"/>
    <w:rsid w:val="0074303D"/>
    <w:rsid w:val="00743A46"/>
    <w:rsid w:val="007445DE"/>
    <w:rsid w:val="0074486C"/>
    <w:rsid w:val="00746348"/>
    <w:rsid w:val="00746D34"/>
    <w:rsid w:val="00746EB4"/>
    <w:rsid w:val="007478E4"/>
    <w:rsid w:val="00747A13"/>
    <w:rsid w:val="00750C90"/>
    <w:rsid w:val="00751065"/>
    <w:rsid w:val="00751326"/>
    <w:rsid w:val="007521DE"/>
    <w:rsid w:val="00752D03"/>
    <w:rsid w:val="0075664F"/>
    <w:rsid w:val="0075766A"/>
    <w:rsid w:val="00761627"/>
    <w:rsid w:val="00762F64"/>
    <w:rsid w:val="00763967"/>
    <w:rsid w:val="007645E6"/>
    <w:rsid w:val="00764DE0"/>
    <w:rsid w:val="00765AEA"/>
    <w:rsid w:val="00766186"/>
    <w:rsid w:val="00767AE4"/>
    <w:rsid w:val="00767DA2"/>
    <w:rsid w:val="00770BCA"/>
    <w:rsid w:val="007721EB"/>
    <w:rsid w:val="0077270C"/>
    <w:rsid w:val="007731F9"/>
    <w:rsid w:val="00773342"/>
    <w:rsid w:val="007734B2"/>
    <w:rsid w:val="0077359E"/>
    <w:rsid w:val="0077395B"/>
    <w:rsid w:val="00774D34"/>
    <w:rsid w:val="00774D7C"/>
    <w:rsid w:val="00775CAE"/>
    <w:rsid w:val="0077654F"/>
    <w:rsid w:val="00776F49"/>
    <w:rsid w:val="00781C6D"/>
    <w:rsid w:val="007832E9"/>
    <w:rsid w:val="0078342B"/>
    <w:rsid w:val="00785378"/>
    <w:rsid w:val="00785913"/>
    <w:rsid w:val="007927C0"/>
    <w:rsid w:val="00793075"/>
    <w:rsid w:val="007945B4"/>
    <w:rsid w:val="00795CA8"/>
    <w:rsid w:val="00795FC3"/>
    <w:rsid w:val="00797504"/>
    <w:rsid w:val="007A1AE5"/>
    <w:rsid w:val="007A1AFC"/>
    <w:rsid w:val="007A1B56"/>
    <w:rsid w:val="007A1C10"/>
    <w:rsid w:val="007A1C49"/>
    <w:rsid w:val="007A2423"/>
    <w:rsid w:val="007A375B"/>
    <w:rsid w:val="007A41E8"/>
    <w:rsid w:val="007A4563"/>
    <w:rsid w:val="007A59E0"/>
    <w:rsid w:val="007A5DEE"/>
    <w:rsid w:val="007A6EB4"/>
    <w:rsid w:val="007A77E9"/>
    <w:rsid w:val="007B0DB0"/>
    <w:rsid w:val="007B14F3"/>
    <w:rsid w:val="007B15CB"/>
    <w:rsid w:val="007B2ABF"/>
    <w:rsid w:val="007B30C9"/>
    <w:rsid w:val="007B4862"/>
    <w:rsid w:val="007B4BE4"/>
    <w:rsid w:val="007B5177"/>
    <w:rsid w:val="007B719E"/>
    <w:rsid w:val="007B72C9"/>
    <w:rsid w:val="007C605A"/>
    <w:rsid w:val="007C60C1"/>
    <w:rsid w:val="007C7683"/>
    <w:rsid w:val="007D136A"/>
    <w:rsid w:val="007D1F80"/>
    <w:rsid w:val="007D1FB0"/>
    <w:rsid w:val="007D4261"/>
    <w:rsid w:val="007D46BA"/>
    <w:rsid w:val="007D5010"/>
    <w:rsid w:val="007D537C"/>
    <w:rsid w:val="007D6102"/>
    <w:rsid w:val="007D6BE3"/>
    <w:rsid w:val="007D7872"/>
    <w:rsid w:val="007D7AD5"/>
    <w:rsid w:val="007D7CD0"/>
    <w:rsid w:val="007E07BD"/>
    <w:rsid w:val="007E0ABF"/>
    <w:rsid w:val="007E13EB"/>
    <w:rsid w:val="007E195E"/>
    <w:rsid w:val="007E2B7E"/>
    <w:rsid w:val="007E3074"/>
    <w:rsid w:val="007E4A70"/>
    <w:rsid w:val="007E4C71"/>
    <w:rsid w:val="007E5894"/>
    <w:rsid w:val="007E645B"/>
    <w:rsid w:val="007E7672"/>
    <w:rsid w:val="007F039D"/>
    <w:rsid w:val="007F0C53"/>
    <w:rsid w:val="007F1875"/>
    <w:rsid w:val="007F18C4"/>
    <w:rsid w:val="007F3D7D"/>
    <w:rsid w:val="007F41AB"/>
    <w:rsid w:val="007F57BC"/>
    <w:rsid w:val="007F5CF7"/>
    <w:rsid w:val="00800195"/>
    <w:rsid w:val="008007D3"/>
    <w:rsid w:val="00801A37"/>
    <w:rsid w:val="00804FAA"/>
    <w:rsid w:val="008058C3"/>
    <w:rsid w:val="00805D62"/>
    <w:rsid w:val="00806A08"/>
    <w:rsid w:val="00806BE7"/>
    <w:rsid w:val="00810754"/>
    <w:rsid w:val="00810E5C"/>
    <w:rsid w:val="00811458"/>
    <w:rsid w:val="00811EBD"/>
    <w:rsid w:val="00812745"/>
    <w:rsid w:val="008135EC"/>
    <w:rsid w:val="00814026"/>
    <w:rsid w:val="0081428A"/>
    <w:rsid w:val="0081437F"/>
    <w:rsid w:val="00815155"/>
    <w:rsid w:val="008173A7"/>
    <w:rsid w:val="00817C2C"/>
    <w:rsid w:val="00817D81"/>
    <w:rsid w:val="00820578"/>
    <w:rsid w:val="00820930"/>
    <w:rsid w:val="00820B1F"/>
    <w:rsid w:val="008216D6"/>
    <w:rsid w:val="00821A87"/>
    <w:rsid w:val="00821EC4"/>
    <w:rsid w:val="008226B6"/>
    <w:rsid w:val="00823398"/>
    <w:rsid w:val="00823992"/>
    <w:rsid w:val="00826F1F"/>
    <w:rsid w:val="00827065"/>
    <w:rsid w:val="00827EAD"/>
    <w:rsid w:val="00831603"/>
    <w:rsid w:val="00831A8B"/>
    <w:rsid w:val="00834014"/>
    <w:rsid w:val="008355E0"/>
    <w:rsid w:val="00836C39"/>
    <w:rsid w:val="00836DC4"/>
    <w:rsid w:val="00837705"/>
    <w:rsid w:val="008377BF"/>
    <w:rsid w:val="00837C49"/>
    <w:rsid w:val="00840B0A"/>
    <w:rsid w:val="00840B93"/>
    <w:rsid w:val="00840E23"/>
    <w:rsid w:val="008418F3"/>
    <w:rsid w:val="00841A0A"/>
    <w:rsid w:val="00842230"/>
    <w:rsid w:val="00842C3C"/>
    <w:rsid w:val="00843D9C"/>
    <w:rsid w:val="008466E3"/>
    <w:rsid w:val="008475DC"/>
    <w:rsid w:val="00850544"/>
    <w:rsid w:val="00851BCB"/>
    <w:rsid w:val="00851CDF"/>
    <w:rsid w:val="00851F89"/>
    <w:rsid w:val="00852F31"/>
    <w:rsid w:val="00853A37"/>
    <w:rsid w:val="00853D14"/>
    <w:rsid w:val="00854CA5"/>
    <w:rsid w:val="00856017"/>
    <w:rsid w:val="00856769"/>
    <w:rsid w:val="00857551"/>
    <w:rsid w:val="00857BB1"/>
    <w:rsid w:val="00860109"/>
    <w:rsid w:val="0086411E"/>
    <w:rsid w:val="00864252"/>
    <w:rsid w:val="00864314"/>
    <w:rsid w:val="008649D1"/>
    <w:rsid w:val="00864DDF"/>
    <w:rsid w:val="00866DA7"/>
    <w:rsid w:val="00867D6E"/>
    <w:rsid w:val="00870C4F"/>
    <w:rsid w:val="0087618C"/>
    <w:rsid w:val="008772E5"/>
    <w:rsid w:val="00877AA9"/>
    <w:rsid w:val="00877EE4"/>
    <w:rsid w:val="008801F3"/>
    <w:rsid w:val="008819D4"/>
    <w:rsid w:val="008833A3"/>
    <w:rsid w:val="00883BE6"/>
    <w:rsid w:val="008846ED"/>
    <w:rsid w:val="00884B0B"/>
    <w:rsid w:val="00886641"/>
    <w:rsid w:val="008869C4"/>
    <w:rsid w:val="00886AD9"/>
    <w:rsid w:val="008871CF"/>
    <w:rsid w:val="008878FC"/>
    <w:rsid w:val="00890573"/>
    <w:rsid w:val="00891E53"/>
    <w:rsid w:val="00892132"/>
    <w:rsid w:val="00894512"/>
    <w:rsid w:val="00896120"/>
    <w:rsid w:val="0089676C"/>
    <w:rsid w:val="00896FA6"/>
    <w:rsid w:val="00897D64"/>
    <w:rsid w:val="008A1B06"/>
    <w:rsid w:val="008A2477"/>
    <w:rsid w:val="008A262F"/>
    <w:rsid w:val="008A28A2"/>
    <w:rsid w:val="008A2DAD"/>
    <w:rsid w:val="008A3CCD"/>
    <w:rsid w:val="008A5AB9"/>
    <w:rsid w:val="008A7463"/>
    <w:rsid w:val="008A760C"/>
    <w:rsid w:val="008A763D"/>
    <w:rsid w:val="008A7E4D"/>
    <w:rsid w:val="008B181D"/>
    <w:rsid w:val="008B19A9"/>
    <w:rsid w:val="008B4063"/>
    <w:rsid w:val="008B4B06"/>
    <w:rsid w:val="008B5338"/>
    <w:rsid w:val="008B5537"/>
    <w:rsid w:val="008B6BFF"/>
    <w:rsid w:val="008B7267"/>
    <w:rsid w:val="008B77F9"/>
    <w:rsid w:val="008B7E6B"/>
    <w:rsid w:val="008C0184"/>
    <w:rsid w:val="008C10A9"/>
    <w:rsid w:val="008C113D"/>
    <w:rsid w:val="008C1A4B"/>
    <w:rsid w:val="008C35F5"/>
    <w:rsid w:val="008C40DD"/>
    <w:rsid w:val="008C5160"/>
    <w:rsid w:val="008C5747"/>
    <w:rsid w:val="008C639B"/>
    <w:rsid w:val="008D001E"/>
    <w:rsid w:val="008D0337"/>
    <w:rsid w:val="008D277C"/>
    <w:rsid w:val="008D2B91"/>
    <w:rsid w:val="008D36FA"/>
    <w:rsid w:val="008D424A"/>
    <w:rsid w:val="008D4549"/>
    <w:rsid w:val="008D45C6"/>
    <w:rsid w:val="008D4870"/>
    <w:rsid w:val="008D4B02"/>
    <w:rsid w:val="008D57A3"/>
    <w:rsid w:val="008D667E"/>
    <w:rsid w:val="008D6821"/>
    <w:rsid w:val="008D6C84"/>
    <w:rsid w:val="008D76C0"/>
    <w:rsid w:val="008D7D37"/>
    <w:rsid w:val="008E09E7"/>
    <w:rsid w:val="008E0CB3"/>
    <w:rsid w:val="008E1610"/>
    <w:rsid w:val="008E17FA"/>
    <w:rsid w:val="008E271A"/>
    <w:rsid w:val="008E28DD"/>
    <w:rsid w:val="008E32E0"/>
    <w:rsid w:val="008E3A6F"/>
    <w:rsid w:val="008E3AFB"/>
    <w:rsid w:val="008E3FDF"/>
    <w:rsid w:val="008E490E"/>
    <w:rsid w:val="008E6736"/>
    <w:rsid w:val="008E6881"/>
    <w:rsid w:val="008E7B9F"/>
    <w:rsid w:val="008F0684"/>
    <w:rsid w:val="008F0BD8"/>
    <w:rsid w:val="008F2568"/>
    <w:rsid w:val="008F3745"/>
    <w:rsid w:val="008F3D10"/>
    <w:rsid w:val="008F476C"/>
    <w:rsid w:val="008F5A62"/>
    <w:rsid w:val="008F601C"/>
    <w:rsid w:val="008F7D9F"/>
    <w:rsid w:val="00900943"/>
    <w:rsid w:val="00900C82"/>
    <w:rsid w:val="00900F60"/>
    <w:rsid w:val="00901E23"/>
    <w:rsid w:val="00903D3E"/>
    <w:rsid w:val="00904D9A"/>
    <w:rsid w:val="00904DC5"/>
    <w:rsid w:val="009050AB"/>
    <w:rsid w:val="009055B5"/>
    <w:rsid w:val="009066A7"/>
    <w:rsid w:val="00906D53"/>
    <w:rsid w:val="00910D53"/>
    <w:rsid w:val="00913CDD"/>
    <w:rsid w:val="00914208"/>
    <w:rsid w:val="00914EFB"/>
    <w:rsid w:val="009152A8"/>
    <w:rsid w:val="00916C78"/>
    <w:rsid w:val="0092066F"/>
    <w:rsid w:val="00920A48"/>
    <w:rsid w:val="00921F68"/>
    <w:rsid w:val="00923766"/>
    <w:rsid w:val="009237D0"/>
    <w:rsid w:val="00923A3D"/>
    <w:rsid w:val="00924020"/>
    <w:rsid w:val="00924E39"/>
    <w:rsid w:val="009254EB"/>
    <w:rsid w:val="00925F0D"/>
    <w:rsid w:val="00927ADD"/>
    <w:rsid w:val="00930410"/>
    <w:rsid w:val="00930C0F"/>
    <w:rsid w:val="00930E5C"/>
    <w:rsid w:val="009312DB"/>
    <w:rsid w:val="00932553"/>
    <w:rsid w:val="00932D8E"/>
    <w:rsid w:val="0093415D"/>
    <w:rsid w:val="0093430C"/>
    <w:rsid w:val="0093494E"/>
    <w:rsid w:val="00934E0E"/>
    <w:rsid w:val="009356FE"/>
    <w:rsid w:val="00935C03"/>
    <w:rsid w:val="0093626C"/>
    <w:rsid w:val="009370FD"/>
    <w:rsid w:val="0094039C"/>
    <w:rsid w:val="0094095B"/>
    <w:rsid w:val="0094128F"/>
    <w:rsid w:val="00941FF1"/>
    <w:rsid w:val="00942484"/>
    <w:rsid w:val="00943372"/>
    <w:rsid w:val="0094424A"/>
    <w:rsid w:val="00944CC7"/>
    <w:rsid w:val="00946F98"/>
    <w:rsid w:val="0094771A"/>
    <w:rsid w:val="009506F3"/>
    <w:rsid w:val="009526DC"/>
    <w:rsid w:val="00953334"/>
    <w:rsid w:val="009535BF"/>
    <w:rsid w:val="009545A8"/>
    <w:rsid w:val="00954AB8"/>
    <w:rsid w:val="009551F5"/>
    <w:rsid w:val="00955DE9"/>
    <w:rsid w:val="00956F4B"/>
    <w:rsid w:val="009572D5"/>
    <w:rsid w:val="00957C6E"/>
    <w:rsid w:val="00960A7B"/>
    <w:rsid w:val="00961DDE"/>
    <w:rsid w:val="00962652"/>
    <w:rsid w:val="0096282A"/>
    <w:rsid w:val="009633D2"/>
    <w:rsid w:val="00963731"/>
    <w:rsid w:val="00964141"/>
    <w:rsid w:val="009653DD"/>
    <w:rsid w:val="0097098E"/>
    <w:rsid w:val="00970A49"/>
    <w:rsid w:val="00971BC1"/>
    <w:rsid w:val="00972428"/>
    <w:rsid w:val="00973331"/>
    <w:rsid w:val="00973485"/>
    <w:rsid w:val="00974DBF"/>
    <w:rsid w:val="00975E10"/>
    <w:rsid w:val="00976125"/>
    <w:rsid w:val="00977FAD"/>
    <w:rsid w:val="009805DB"/>
    <w:rsid w:val="00982221"/>
    <w:rsid w:val="00984B9E"/>
    <w:rsid w:val="00984EA3"/>
    <w:rsid w:val="00985108"/>
    <w:rsid w:val="009857A1"/>
    <w:rsid w:val="00986B52"/>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887"/>
    <w:rsid w:val="0099636D"/>
    <w:rsid w:val="0099670B"/>
    <w:rsid w:val="00997610"/>
    <w:rsid w:val="009A006C"/>
    <w:rsid w:val="009A11C0"/>
    <w:rsid w:val="009A195F"/>
    <w:rsid w:val="009A2D7F"/>
    <w:rsid w:val="009A31B6"/>
    <w:rsid w:val="009A4DF0"/>
    <w:rsid w:val="009A56DD"/>
    <w:rsid w:val="009A5CE8"/>
    <w:rsid w:val="009B0CA1"/>
    <w:rsid w:val="009B11BB"/>
    <w:rsid w:val="009B12B2"/>
    <w:rsid w:val="009B20CD"/>
    <w:rsid w:val="009B254B"/>
    <w:rsid w:val="009B29B7"/>
    <w:rsid w:val="009B29F9"/>
    <w:rsid w:val="009B2E92"/>
    <w:rsid w:val="009B35B4"/>
    <w:rsid w:val="009B367D"/>
    <w:rsid w:val="009B49DA"/>
    <w:rsid w:val="009B562F"/>
    <w:rsid w:val="009B6E6B"/>
    <w:rsid w:val="009C1668"/>
    <w:rsid w:val="009C1A89"/>
    <w:rsid w:val="009C1B39"/>
    <w:rsid w:val="009C2FAB"/>
    <w:rsid w:val="009C3350"/>
    <w:rsid w:val="009C37D5"/>
    <w:rsid w:val="009C3FF8"/>
    <w:rsid w:val="009C5700"/>
    <w:rsid w:val="009C570A"/>
    <w:rsid w:val="009C71E4"/>
    <w:rsid w:val="009D0DB0"/>
    <w:rsid w:val="009D228D"/>
    <w:rsid w:val="009D4E3B"/>
    <w:rsid w:val="009D4F7D"/>
    <w:rsid w:val="009D7465"/>
    <w:rsid w:val="009E0233"/>
    <w:rsid w:val="009E1067"/>
    <w:rsid w:val="009E11E9"/>
    <w:rsid w:val="009E22DE"/>
    <w:rsid w:val="009E2842"/>
    <w:rsid w:val="009E28FF"/>
    <w:rsid w:val="009E2F43"/>
    <w:rsid w:val="009E2FDB"/>
    <w:rsid w:val="009E340B"/>
    <w:rsid w:val="009E4EAE"/>
    <w:rsid w:val="009E6567"/>
    <w:rsid w:val="009E6865"/>
    <w:rsid w:val="009E6F8B"/>
    <w:rsid w:val="009E7315"/>
    <w:rsid w:val="009F0724"/>
    <w:rsid w:val="009F0847"/>
    <w:rsid w:val="009F0E15"/>
    <w:rsid w:val="009F2084"/>
    <w:rsid w:val="009F25B4"/>
    <w:rsid w:val="009F2FE9"/>
    <w:rsid w:val="009F36FA"/>
    <w:rsid w:val="009F3F24"/>
    <w:rsid w:val="009F5980"/>
    <w:rsid w:val="009F5A22"/>
    <w:rsid w:val="009F6494"/>
    <w:rsid w:val="009F6B5A"/>
    <w:rsid w:val="009F72FF"/>
    <w:rsid w:val="009F731B"/>
    <w:rsid w:val="009F7566"/>
    <w:rsid w:val="009F7635"/>
    <w:rsid w:val="00A0031F"/>
    <w:rsid w:val="00A00575"/>
    <w:rsid w:val="00A01F3F"/>
    <w:rsid w:val="00A01FE5"/>
    <w:rsid w:val="00A0228D"/>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20030"/>
    <w:rsid w:val="00A2010A"/>
    <w:rsid w:val="00A20586"/>
    <w:rsid w:val="00A20695"/>
    <w:rsid w:val="00A20DE3"/>
    <w:rsid w:val="00A22D79"/>
    <w:rsid w:val="00A23ED3"/>
    <w:rsid w:val="00A2480A"/>
    <w:rsid w:val="00A27740"/>
    <w:rsid w:val="00A279B7"/>
    <w:rsid w:val="00A31314"/>
    <w:rsid w:val="00A3191C"/>
    <w:rsid w:val="00A31948"/>
    <w:rsid w:val="00A33512"/>
    <w:rsid w:val="00A346A6"/>
    <w:rsid w:val="00A34781"/>
    <w:rsid w:val="00A3479B"/>
    <w:rsid w:val="00A34E1A"/>
    <w:rsid w:val="00A35336"/>
    <w:rsid w:val="00A35978"/>
    <w:rsid w:val="00A36E4F"/>
    <w:rsid w:val="00A37932"/>
    <w:rsid w:val="00A37AF2"/>
    <w:rsid w:val="00A37BCD"/>
    <w:rsid w:val="00A40512"/>
    <w:rsid w:val="00A41DA1"/>
    <w:rsid w:val="00A4241C"/>
    <w:rsid w:val="00A436ED"/>
    <w:rsid w:val="00A45ACB"/>
    <w:rsid w:val="00A463AE"/>
    <w:rsid w:val="00A470DF"/>
    <w:rsid w:val="00A50229"/>
    <w:rsid w:val="00A505CD"/>
    <w:rsid w:val="00A50908"/>
    <w:rsid w:val="00A52319"/>
    <w:rsid w:val="00A52A50"/>
    <w:rsid w:val="00A530DE"/>
    <w:rsid w:val="00A539DC"/>
    <w:rsid w:val="00A55AB9"/>
    <w:rsid w:val="00A55D75"/>
    <w:rsid w:val="00A56014"/>
    <w:rsid w:val="00A56A81"/>
    <w:rsid w:val="00A571B1"/>
    <w:rsid w:val="00A571DA"/>
    <w:rsid w:val="00A576BB"/>
    <w:rsid w:val="00A57885"/>
    <w:rsid w:val="00A60759"/>
    <w:rsid w:val="00A60B74"/>
    <w:rsid w:val="00A615A1"/>
    <w:rsid w:val="00A617C1"/>
    <w:rsid w:val="00A618DC"/>
    <w:rsid w:val="00A61BE1"/>
    <w:rsid w:val="00A62309"/>
    <w:rsid w:val="00A6538B"/>
    <w:rsid w:val="00A669EE"/>
    <w:rsid w:val="00A66F7E"/>
    <w:rsid w:val="00A67E94"/>
    <w:rsid w:val="00A70351"/>
    <w:rsid w:val="00A71628"/>
    <w:rsid w:val="00A71E14"/>
    <w:rsid w:val="00A7264E"/>
    <w:rsid w:val="00A72971"/>
    <w:rsid w:val="00A72D92"/>
    <w:rsid w:val="00A73B8B"/>
    <w:rsid w:val="00A74821"/>
    <w:rsid w:val="00A748B3"/>
    <w:rsid w:val="00A76FB3"/>
    <w:rsid w:val="00A8229F"/>
    <w:rsid w:val="00A84E6F"/>
    <w:rsid w:val="00A853EB"/>
    <w:rsid w:val="00A85FC3"/>
    <w:rsid w:val="00A91695"/>
    <w:rsid w:val="00A927BD"/>
    <w:rsid w:val="00A928CA"/>
    <w:rsid w:val="00A93466"/>
    <w:rsid w:val="00A93EA8"/>
    <w:rsid w:val="00A94373"/>
    <w:rsid w:val="00A94663"/>
    <w:rsid w:val="00A94FFE"/>
    <w:rsid w:val="00A966E2"/>
    <w:rsid w:val="00A968B6"/>
    <w:rsid w:val="00AA09D1"/>
    <w:rsid w:val="00AA1A3D"/>
    <w:rsid w:val="00AA1BFA"/>
    <w:rsid w:val="00AA2E1C"/>
    <w:rsid w:val="00AA35A8"/>
    <w:rsid w:val="00AA3E93"/>
    <w:rsid w:val="00AB09C5"/>
    <w:rsid w:val="00AB240E"/>
    <w:rsid w:val="00AB258C"/>
    <w:rsid w:val="00AB3540"/>
    <w:rsid w:val="00AB44C2"/>
    <w:rsid w:val="00AB4FB8"/>
    <w:rsid w:val="00AB57CC"/>
    <w:rsid w:val="00AB6605"/>
    <w:rsid w:val="00AB66E1"/>
    <w:rsid w:val="00AB6E22"/>
    <w:rsid w:val="00AB7211"/>
    <w:rsid w:val="00AC0FDB"/>
    <w:rsid w:val="00AC1331"/>
    <w:rsid w:val="00AC29FD"/>
    <w:rsid w:val="00AC2F51"/>
    <w:rsid w:val="00AC3566"/>
    <w:rsid w:val="00AC446C"/>
    <w:rsid w:val="00AC48BA"/>
    <w:rsid w:val="00AC4FA8"/>
    <w:rsid w:val="00AC654A"/>
    <w:rsid w:val="00AC7055"/>
    <w:rsid w:val="00AC7B4D"/>
    <w:rsid w:val="00AC7B7D"/>
    <w:rsid w:val="00AD0A32"/>
    <w:rsid w:val="00AD1D61"/>
    <w:rsid w:val="00AD3735"/>
    <w:rsid w:val="00AD4212"/>
    <w:rsid w:val="00AE0441"/>
    <w:rsid w:val="00AE0EB1"/>
    <w:rsid w:val="00AE16E7"/>
    <w:rsid w:val="00AE2D33"/>
    <w:rsid w:val="00AE2DC2"/>
    <w:rsid w:val="00AE2FFB"/>
    <w:rsid w:val="00AE3D49"/>
    <w:rsid w:val="00AE7310"/>
    <w:rsid w:val="00AE73E3"/>
    <w:rsid w:val="00AE79CB"/>
    <w:rsid w:val="00AE7CAF"/>
    <w:rsid w:val="00AE7E4B"/>
    <w:rsid w:val="00AE7EE0"/>
    <w:rsid w:val="00AF00AB"/>
    <w:rsid w:val="00AF01A9"/>
    <w:rsid w:val="00AF0D3E"/>
    <w:rsid w:val="00AF0D76"/>
    <w:rsid w:val="00AF1275"/>
    <w:rsid w:val="00AF15C9"/>
    <w:rsid w:val="00AF2E47"/>
    <w:rsid w:val="00AF3D50"/>
    <w:rsid w:val="00AF43CA"/>
    <w:rsid w:val="00AF43EC"/>
    <w:rsid w:val="00AF485B"/>
    <w:rsid w:val="00AF4C11"/>
    <w:rsid w:val="00AF4C38"/>
    <w:rsid w:val="00AF5418"/>
    <w:rsid w:val="00AF573C"/>
    <w:rsid w:val="00AF6057"/>
    <w:rsid w:val="00AF63CD"/>
    <w:rsid w:val="00AF67CC"/>
    <w:rsid w:val="00AF6F18"/>
    <w:rsid w:val="00B000E1"/>
    <w:rsid w:val="00B00E63"/>
    <w:rsid w:val="00B0138C"/>
    <w:rsid w:val="00B01966"/>
    <w:rsid w:val="00B0261C"/>
    <w:rsid w:val="00B033F7"/>
    <w:rsid w:val="00B0564A"/>
    <w:rsid w:val="00B0777F"/>
    <w:rsid w:val="00B07A4D"/>
    <w:rsid w:val="00B10197"/>
    <w:rsid w:val="00B10C31"/>
    <w:rsid w:val="00B11720"/>
    <w:rsid w:val="00B11FBD"/>
    <w:rsid w:val="00B13D1E"/>
    <w:rsid w:val="00B14AAA"/>
    <w:rsid w:val="00B1530A"/>
    <w:rsid w:val="00B16689"/>
    <w:rsid w:val="00B171F3"/>
    <w:rsid w:val="00B17538"/>
    <w:rsid w:val="00B203E4"/>
    <w:rsid w:val="00B222E7"/>
    <w:rsid w:val="00B22702"/>
    <w:rsid w:val="00B229E9"/>
    <w:rsid w:val="00B22BDB"/>
    <w:rsid w:val="00B2316B"/>
    <w:rsid w:val="00B25777"/>
    <w:rsid w:val="00B25883"/>
    <w:rsid w:val="00B26002"/>
    <w:rsid w:val="00B263D3"/>
    <w:rsid w:val="00B26B32"/>
    <w:rsid w:val="00B309D6"/>
    <w:rsid w:val="00B30BC8"/>
    <w:rsid w:val="00B30F71"/>
    <w:rsid w:val="00B32086"/>
    <w:rsid w:val="00B32262"/>
    <w:rsid w:val="00B3361B"/>
    <w:rsid w:val="00B34764"/>
    <w:rsid w:val="00B34B54"/>
    <w:rsid w:val="00B34D43"/>
    <w:rsid w:val="00B351E2"/>
    <w:rsid w:val="00B354D1"/>
    <w:rsid w:val="00B35B9E"/>
    <w:rsid w:val="00B36087"/>
    <w:rsid w:val="00B361EA"/>
    <w:rsid w:val="00B361F0"/>
    <w:rsid w:val="00B365DF"/>
    <w:rsid w:val="00B36B09"/>
    <w:rsid w:val="00B36EBB"/>
    <w:rsid w:val="00B37290"/>
    <w:rsid w:val="00B37431"/>
    <w:rsid w:val="00B4056E"/>
    <w:rsid w:val="00B40AD8"/>
    <w:rsid w:val="00B4319E"/>
    <w:rsid w:val="00B443CA"/>
    <w:rsid w:val="00B44D1D"/>
    <w:rsid w:val="00B456BC"/>
    <w:rsid w:val="00B46353"/>
    <w:rsid w:val="00B47A25"/>
    <w:rsid w:val="00B50AA5"/>
    <w:rsid w:val="00B50E23"/>
    <w:rsid w:val="00B5117D"/>
    <w:rsid w:val="00B51EA6"/>
    <w:rsid w:val="00B52572"/>
    <w:rsid w:val="00B554DD"/>
    <w:rsid w:val="00B56C8F"/>
    <w:rsid w:val="00B57B38"/>
    <w:rsid w:val="00B6108F"/>
    <w:rsid w:val="00B628D5"/>
    <w:rsid w:val="00B639C9"/>
    <w:rsid w:val="00B6429A"/>
    <w:rsid w:val="00B64367"/>
    <w:rsid w:val="00B6448C"/>
    <w:rsid w:val="00B6487F"/>
    <w:rsid w:val="00B6519A"/>
    <w:rsid w:val="00B6558B"/>
    <w:rsid w:val="00B65CBD"/>
    <w:rsid w:val="00B6620B"/>
    <w:rsid w:val="00B66396"/>
    <w:rsid w:val="00B6651B"/>
    <w:rsid w:val="00B67504"/>
    <w:rsid w:val="00B725A4"/>
    <w:rsid w:val="00B72E7C"/>
    <w:rsid w:val="00B72F78"/>
    <w:rsid w:val="00B7304C"/>
    <w:rsid w:val="00B731F2"/>
    <w:rsid w:val="00B732AE"/>
    <w:rsid w:val="00B73951"/>
    <w:rsid w:val="00B73AC9"/>
    <w:rsid w:val="00B7443C"/>
    <w:rsid w:val="00B754A6"/>
    <w:rsid w:val="00B776C2"/>
    <w:rsid w:val="00B82528"/>
    <w:rsid w:val="00B825B4"/>
    <w:rsid w:val="00B82D99"/>
    <w:rsid w:val="00B82DE6"/>
    <w:rsid w:val="00B846E4"/>
    <w:rsid w:val="00B8495C"/>
    <w:rsid w:val="00B85589"/>
    <w:rsid w:val="00B86612"/>
    <w:rsid w:val="00B86E61"/>
    <w:rsid w:val="00B87784"/>
    <w:rsid w:val="00B903D5"/>
    <w:rsid w:val="00B90BD9"/>
    <w:rsid w:val="00B91FB3"/>
    <w:rsid w:val="00B921C0"/>
    <w:rsid w:val="00B92250"/>
    <w:rsid w:val="00B933F6"/>
    <w:rsid w:val="00B9478C"/>
    <w:rsid w:val="00BA04A1"/>
    <w:rsid w:val="00BA1604"/>
    <w:rsid w:val="00BA19C4"/>
    <w:rsid w:val="00BA1A6B"/>
    <w:rsid w:val="00BA2B83"/>
    <w:rsid w:val="00BA424D"/>
    <w:rsid w:val="00BA4377"/>
    <w:rsid w:val="00BA49D1"/>
    <w:rsid w:val="00BA5A7B"/>
    <w:rsid w:val="00BA62E3"/>
    <w:rsid w:val="00BA7AE6"/>
    <w:rsid w:val="00BB024E"/>
    <w:rsid w:val="00BB2444"/>
    <w:rsid w:val="00BB28BE"/>
    <w:rsid w:val="00BB31A6"/>
    <w:rsid w:val="00BB3BBE"/>
    <w:rsid w:val="00BB42E0"/>
    <w:rsid w:val="00BB447A"/>
    <w:rsid w:val="00BB570C"/>
    <w:rsid w:val="00BB578B"/>
    <w:rsid w:val="00BB66EE"/>
    <w:rsid w:val="00BC070C"/>
    <w:rsid w:val="00BC1F6F"/>
    <w:rsid w:val="00BC2716"/>
    <w:rsid w:val="00BC2D43"/>
    <w:rsid w:val="00BC2D75"/>
    <w:rsid w:val="00BC38E6"/>
    <w:rsid w:val="00BC5B9B"/>
    <w:rsid w:val="00BC5DCC"/>
    <w:rsid w:val="00BC6320"/>
    <w:rsid w:val="00BC66DA"/>
    <w:rsid w:val="00BD19B2"/>
    <w:rsid w:val="00BD3452"/>
    <w:rsid w:val="00BD421C"/>
    <w:rsid w:val="00BD5269"/>
    <w:rsid w:val="00BD5943"/>
    <w:rsid w:val="00BD64DF"/>
    <w:rsid w:val="00BD6570"/>
    <w:rsid w:val="00BD6B1E"/>
    <w:rsid w:val="00BD76F3"/>
    <w:rsid w:val="00BD78ED"/>
    <w:rsid w:val="00BD7BCB"/>
    <w:rsid w:val="00BE046B"/>
    <w:rsid w:val="00BE08DE"/>
    <w:rsid w:val="00BE1167"/>
    <w:rsid w:val="00BE15F0"/>
    <w:rsid w:val="00BE1814"/>
    <w:rsid w:val="00BE1E7E"/>
    <w:rsid w:val="00BE3122"/>
    <w:rsid w:val="00BE37AD"/>
    <w:rsid w:val="00BE3B4A"/>
    <w:rsid w:val="00BE4511"/>
    <w:rsid w:val="00BE459F"/>
    <w:rsid w:val="00BE464F"/>
    <w:rsid w:val="00BE4FAB"/>
    <w:rsid w:val="00BE52A8"/>
    <w:rsid w:val="00BE5EF7"/>
    <w:rsid w:val="00BE5F01"/>
    <w:rsid w:val="00BE624B"/>
    <w:rsid w:val="00BE6F92"/>
    <w:rsid w:val="00BF0013"/>
    <w:rsid w:val="00BF0C27"/>
    <w:rsid w:val="00BF233E"/>
    <w:rsid w:val="00BF2728"/>
    <w:rsid w:val="00BF28D4"/>
    <w:rsid w:val="00BF34E1"/>
    <w:rsid w:val="00BF3DE4"/>
    <w:rsid w:val="00BF4C93"/>
    <w:rsid w:val="00BF4EE6"/>
    <w:rsid w:val="00BF4F71"/>
    <w:rsid w:val="00BF6DB1"/>
    <w:rsid w:val="00C00F1C"/>
    <w:rsid w:val="00C01499"/>
    <w:rsid w:val="00C01990"/>
    <w:rsid w:val="00C035C4"/>
    <w:rsid w:val="00C03763"/>
    <w:rsid w:val="00C03F7F"/>
    <w:rsid w:val="00C045D1"/>
    <w:rsid w:val="00C04D6F"/>
    <w:rsid w:val="00C06567"/>
    <w:rsid w:val="00C06576"/>
    <w:rsid w:val="00C066E2"/>
    <w:rsid w:val="00C07899"/>
    <w:rsid w:val="00C1110F"/>
    <w:rsid w:val="00C1171D"/>
    <w:rsid w:val="00C11E71"/>
    <w:rsid w:val="00C11FFB"/>
    <w:rsid w:val="00C129DA"/>
    <w:rsid w:val="00C12C58"/>
    <w:rsid w:val="00C13335"/>
    <w:rsid w:val="00C13E20"/>
    <w:rsid w:val="00C1463E"/>
    <w:rsid w:val="00C172A8"/>
    <w:rsid w:val="00C1746F"/>
    <w:rsid w:val="00C17521"/>
    <w:rsid w:val="00C17925"/>
    <w:rsid w:val="00C17DEB"/>
    <w:rsid w:val="00C2108D"/>
    <w:rsid w:val="00C21EB8"/>
    <w:rsid w:val="00C21F7A"/>
    <w:rsid w:val="00C23C69"/>
    <w:rsid w:val="00C23EB9"/>
    <w:rsid w:val="00C251F1"/>
    <w:rsid w:val="00C2594B"/>
    <w:rsid w:val="00C259EA"/>
    <w:rsid w:val="00C264B5"/>
    <w:rsid w:val="00C272AF"/>
    <w:rsid w:val="00C2781E"/>
    <w:rsid w:val="00C279BC"/>
    <w:rsid w:val="00C27F6A"/>
    <w:rsid w:val="00C3088F"/>
    <w:rsid w:val="00C312B3"/>
    <w:rsid w:val="00C318C7"/>
    <w:rsid w:val="00C31CE5"/>
    <w:rsid w:val="00C335C2"/>
    <w:rsid w:val="00C3395C"/>
    <w:rsid w:val="00C33C78"/>
    <w:rsid w:val="00C3400A"/>
    <w:rsid w:val="00C366DC"/>
    <w:rsid w:val="00C3699E"/>
    <w:rsid w:val="00C36C78"/>
    <w:rsid w:val="00C40445"/>
    <w:rsid w:val="00C4077D"/>
    <w:rsid w:val="00C41976"/>
    <w:rsid w:val="00C419D2"/>
    <w:rsid w:val="00C42017"/>
    <w:rsid w:val="00C43C1F"/>
    <w:rsid w:val="00C44205"/>
    <w:rsid w:val="00C44795"/>
    <w:rsid w:val="00C4622B"/>
    <w:rsid w:val="00C47009"/>
    <w:rsid w:val="00C51545"/>
    <w:rsid w:val="00C5173C"/>
    <w:rsid w:val="00C537CB"/>
    <w:rsid w:val="00C53C1E"/>
    <w:rsid w:val="00C544DA"/>
    <w:rsid w:val="00C553C9"/>
    <w:rsid w:val="00C559FB"/>
    <w:rsid w:val="00C5690B"/>
    <w:rsid w:val="00C56D94"/>
    <w:rsid w:val="00C57273"/>
    <w:rsid w:val="00C57585"/>
    <w:rsid w:val="00C61162"/>
    <w:rsid w:val="00C62150"/>
    <w:rsid w:val="00C628BB"/>
    <w:rsid w:val="00C62B05"/>
    <w:rsid w:val="00C63AED"/>
    <w:rsid w:val="00C63CC5"/>
    <w:rsid w:val="00C6475A"/>
    <w:rsid w:val="00C64A21"/>
    <w:rsid w:val="00C64FA5"/>
    <w:rsid w:val="00C65387"/>
    <w:rsid w:val="00C65548"/>
    <w:rsid w:val="00C65584"/>
    <w:rsid w:val="00C66C88"/>
    <w:rsid w:val="00C675C5"/>
    <w:rsid w:val="00C7012D"/>
    <w:rsid w:val="00C70806"/>
    <w:rsid w:val="00C70A52"/>
    <w:rsid w:val="00C73477"/>
    <w:rsid w:val="00C73AE2"/>
    <w:rsid w:val="00C73B29"/>
    <w:rsid w:val="00C73E25"/>
    <w:rsid w:val="00C7485C"/>
    <w:rsid w:val="00C765E8"/>
    <w:rsid w:val="00C76631"/>
    <w:rsid w:val="00C76AB6"/>
    <w:rsid w:val="00C772CC"/>
    <w:rsid w:val="00C8045C"/>
    <w:rsid w:val="00C82B78"/>
    <w:rsid w:val="00C82EAF"/>
    <w:rsid w:val="00C83DD9"/>
    <w:rsid w:val="00C8452E"/>
    <w:rsid w:val="00C84963"/>
    <w:rsid w:val="00C854AC"/>
    <w:rsid w:val="00C862D1"/>
    <w:rsid w:val="00C87EC8"/>
    <w:rsid w:val="00C914EF"/>
    <w:rsid w:val="00C923DE"/>
    <w:rsid w:val="00C9291E"/>
    <w:rsid w:val="00C95754"/>
    <w:rsid w:val="00C958B7"/>
    <w:rsid w:val="00C9595B"/>
    <w:rsid w:val="00C97C52"/>
    <w:rsid w:val="00C97D7B"/>
    <w:rsid w:val="00C97DF9"/>
    <w:rsid w:val="00C97E8C"/>
    <w:rsid w:val="00CA01E3"/>
    <w:rsid w:val="00CA02B0"/>
    <w:rsid w:val="00CA07A2"/>
    <w:rsid w:val="00CA1145"/>
    <w:rsid w:val="00CA357E"/>
    <w:rsid w:val="00CA3840"/>
    <w:rsid w:val="00CA3C0E"/>
    <w:rsid w:val="00CA3F53"/>
    <w:rsid w:val="00CA4544"/>
    <w:rsid w:val="00CA51D5"/>
    <w:rsid w:val="00CA7468"/>
    <w:rsid w:val="00CA7B9F"/>
    <w:rsid w:val="00CA7E21"/>
    <w:rsid w:val="00CB0310"/>
    <w:rsid w:val="00CB0A82"/>
    <w:rsid w:val="00CB130E"/>
    <w:rsid w:val="00CB18E7"/>
    <w:rsid w:val="00CB237E"/>
    <w:rsid w:val="00CB2E61"/>
    <w:rsid w:val="00CB422B"/>
    <w:rsid w:val="00CB4C4E"/>
    <w:rsid w:val="00CB4DFA"/>
    <w:rsid w:val="00CB6066"/>
    <w:rsid w:val="00CB6D9D"/>
    <w:rsid w:val="00CB7F4B"/>
    <w:rsid w:val="00CC017A"/>
    <w:rsid w:val="00CC03D8"/>
    <w:rsid w:val="00CC1B74"/>
    <w:rsid w:val="00CC2B87"/>
    <w:rsid w:val="00CC489E"/>
    <w:rsid w:val="00CC505B"/>
    <w:rsid w:val="00CC5894"/>
    <w:rsid w:val="00CD0D67"/>
    <w:rsid w:val="00CD115A"/>
    <w:rsid w:val="00CD17F1"/>
    <w:rsid w:val="00CD193E"/>
    <w:rsid w:val="00CD20B0"/>
    <w:rsid w:val="00CD2481"/>
    <w:rsid w:val="00CD24C2"/>
    <w:rsid w:val="00CD2737"/>
    <w:rsid w:val="00CD28AE"/>
    <w:rsid w:val="00CD3509"/>
    <w:rsid w:val="00CD4255"/>
    <w:rsid w:val="00CD5399"/>
    <w:rsid w:val="00CD54B3"/>
    <w:rsid w:val="00CD664D"/>
    <w:rsid w:val="00CD6DA4"/>
    <w:rsid w:val="00CD72FD"/>
    <w:rsid w:val="00CD750A"/>
    <w:rsid w:val="00CE0355"/>
    <w:rsid w:val="00CE0521"/>
    <w:rsid w:val="00CE1897"/>
    <w:rsid w:val="00CE2660"/>
    <w:rsid w:val="00CE2CF6"/>
    <w:rsid w:val="00CE4251"/>
    <w:rsid w:val="00CE4C27"/>
    <w:rsid w:val="00CE54E5"/>
    <w:rsid w:val="00CE5F85"/>
    <w:rsid w:val="00CF02D4"/>
    <w:rsid w:val="00CF062F"/>
    <w:rsid w:val="00CF0BA9"/>
    <w:rsid w:val="00CF1278"/>
    <w:rsid w:val="00CF1D3D"/>
    <w:rsid w:val="00CF256A"/>
    <w:rsid w:val="00CF345B"/>
    <w:rsid w:val="00CF34E6"/>
    <w:rsid w:val="00CF35B1"/>
    <w:rsid w:val="00CF4D5E"/>
    <w:rsid w:val="00CF508A"/>
    <w:rsid w:val="00CF531B"/>
    <w:rsid w:val="00CF5CD6"/>
    <w:rsid w:val="00CF6355"/>
    <w:rsid w:val="00CF733D"/>
    <w:rsid w:val="00CF7AB6"/>
    <w:rsid w:val="00D002D6"/>
    <w:rsid w:val="00D011A8"/>
    <w:rsid w:val="00D01BE9"/>
    <w:rsid w:val="00D01C9E"/>
    <w:rsid w:val="00D01F53"/>
    <w:rsid w:val="00D02B80"/>
    <w:rsid w:val="00D037C4"/>
    <w:rsid w:val="00D039F7"/>
    <w:rsid w:val="00D0443D"/>
    <w:rsid w:val="00D0543B"/>
    <w:rsid w:val="00D06C12"/>
    <w:rsid w:val="00D06DCB"/>
    <w:rsid w:val="00D0705B"/>
    <w:rsid w:val="00D125B6"/>
    <w:rsid w:val="00D13E39"/>
    <w:rsid w:val="00D144EF"/>
    <w:rsid w:val="00D1451E"/>
    <w:rsid w:val="00D145F5"/>
    <w:rsid w:val="00D154DC"/>
    <w:rsid w:val="00D1570E"/>
    <w:rsid w:val="00D15B46"/>
    <w:rsid w:val="00D163AC"/>
    <w:rsid w:val="00D1739C"/>
    <w:rsid w:val="00D20055"/>
    <w:rsid w:val="00D211DB"/>
    <w:rsid w:val="00D220E4"/>
    <w:rsid w:val="00D2231A"/>
    <w:rsid w:val="00D226EB"/>
    <w:rsid w:val="00D236E7"/>
    <w:rsid w:val="00D23B1E"/>
    <w:rsid w:val="00D252C3"/>
    <w:rsid w:val="00D26741"/>
    <w:rsid w:val="00D26CDB"/>
    <w:rsid w:val="00D27094"/>
    <w:rsid w:val="00D274D2"/>
    <w:rsid w:val="00D27641"/>
    <w:rsid w:val="00D2784D"/>
    <w:rsid w:val="00D27AD7"/>
    <w:rsid w:val="00D3111D"/>
    <w:rsid w:val="00D316BB"/>
    <w:rsid w:val="00D331DC"/>
    <w:rsid w:val="00D34048"/>
    <w:rsid w:val="00D34348"/>
    <w:rsid w:val="00D348E1"/>
    <w:rsid w:val="00D34DF3"/>
    <w:rsid w:val="00D36F8D"/>
    <w:rsid w:val="00D377F8"/>
    <w:rsid w:val="00D37DC9"/>
    <w:rsid w:val="00D40691"/>
    <w:rsid w:val="00D40997"/>
    <w:rsid w:val="00D40F41"/>
    <w:rsid w:val="00D413EF"/>
    <w:rsid w:val="00D418BA"/>
    <w:rsid w:val="00D41CFF"/>
    <w:rsid w:val="00D41D18"/>
    <w:rsid w:val="00D42813"/>
    <w:rsid w:val="00D431F3"/>
    <w:rsid w:val="00D44329"/>
    <w:rsid w:val="00D448BD"/>
    <w:rsid w:val="00D44B78"/>
    <w:rsid w:val="00D452B9"/>
    <w:rsid w:val="00D46100"/>
    <w:rsid w:val="00D46178"/>
    <w:rsid w:val="00D50902"/>
    <w:rsid w:val="00D52568"/>
    <w:rsid w:val="00D52A0A"/>
    <w:rsid w:val="00D532C2"/>
    <w:rsid w:val="00D5586B"/>
    <w:rsid w:val="00D56797"/>
    <w:rsid w:val="00D568F1"/>
    <w:rsid w:val="00D57A9C"/>
    <w:rsid w:val="00D57ACF"/>
    <w:rsid w:val="00D57C00"/>
    <w:rsid w:val="00D602FC"/>
    <w:rsid w:val="00D606B3"/>
    <w:rsid w:val="00D60CA1"/>
    <w:rsid w:val="00D620D2"/>
    <w:rsid w:val="00D65787"/>
    <w:rsid w:val="00D65AE0"/>
    <w:rsid w:val="00D6644F"/>
    <w:rsid w:val="00D664C2"/>
    <w:rsid w:val="00D667AC"/>
    <w:rsid w:val="00D67B3E"/>
    <w:rsid w:val="00D67CA3"/>
    <w:rsid w:val="00D70368"/>
    <w:rsid w:val="00D70E60"/>
    <w:rsid w:val="00D71182"/>
    <w:rsid w:val="00D71721"/>
    <w:rsid w:val="00D7244D"/>
    <w:rsid w:val="00D72636"/>
    <w:rsid w:val="00D72CEE"/>
    <w:rsid w:val="00D72EA2"/>
    <w:rsid w:val="00D74BA9"/>
    <w:rsid w:val="00D759F2"/>
    <w:rsid w:val="00D75E62"/>
    <w:rsid w:val="00D762F4"/>
    <w:rsid w:val="00D7636B"/>
    <w:rsid w:val="00D76A0A"/>
    <w:rsid w:val="00D76B4B"/>
    <w:rsid w:val="00D7732A"/>
    <w:rsid w:val="00D81419"/>
    <w:rsid w:val="00D8307C"/>
    <w:rsid w:val="00D85355"/>
    <w:rsid w:val="00D866B8"/>
    <w:rsid w:val="00D86B70"/>
    <w:rsid w:val="00D908BD"/>
    <w:rsid w:val="00D91F3D"/>
    <w:rsid w:val="00D92932"/>
    <w:rsid w:val="00D936DD"/>
    <w:rsid w:val="00D95A18"/>
    <w:rsid w:val="00D961D1"/>
    <w:rsid w:val="00D96965"/>
    <w:rsid w:val="00D96B2F"/>
    <w:rsid w:val="00D97D4F"/>
    <w:rsid w:val="00D97E89"/>
    <w:rsid w:val="00DA060C"/>
    <w:rsid w:val="00DA1160"/>
    <w:rsid w:val="00DA2771"/>
    <w:rsid w:val="00DA2EA2"/>
    <w:rsid w:val="00DA4F47"/>
    <w:rsid w:val="00DA551A"/>
    <w:rsid w:val="00DB0013"/>
    <w:rsid w:val="00DB092E"/>
    <w:rsid w:val="00DB0B3F"/>
    <w:rsid w:val="00DB1B7C"/>
    <w:rsid w:val="00DB31D1"/>
    <w:rsid w:val="00DB4336"/>
    <w:rsid w:val="00DB4918"/>
    <w:rsid w:val="00DB5FAB"/>
    <w:rsid w:val="00DB64A6"/>
    <w:rsid w:val="00DC0701"/>
    <w:rsid w:val="00DC09F2"/>
    <w:rsid w:val="00DC14D4"/>
    <w:rsid w:val="00DC2837"/>
    <w:rsid w:val="00DC348B"/>
    <w:rsid w:val="00DC61C5"/>
    <w:rsid w:val="00DD0063"/>
    <w:rsid w:val="00DD047C"/>
    <w:rsid w:val="00DD1145"/>
    <w:rsid w:val="00DD165E"/>
    <w:rsid w:val="00DD23C3"/>
    <w:rsid w:val="00DD33A6"/>
    <w:rsid w:val="00DD3691"/>
    <w:rsid w:val="00DD3B4F"/>
    <w:rsid w:val="00DD43A3"/>
    <w:rsid w:val="00DD4657"/>
    <w:rsid w:val="00DD54AB"/>
    <w:rsid w:val="00DD570C"/>
    <w:rsid w:val="00DD58E9"/>
    <w:rsid w:val="00DD5F17"/>
    <w:rsid w:val="00DD7248"/>
    <w:rsid w:val="00DD7558"/>
    <w:rsid w:val="00DE006A"/>
    <w:rsid w:val="00DE0455"/>
    <w:rsid w:val="00DE2702"/>
    <w:rsid w:val="00DE2FBE"/>
    <w:rsid w:val="00DE313E"/>
    <w:rsid w:val="00DE371A"/>
    <w:rsid w:val="00DE390A"/>
    <w:rsid w:val="00DE4EB9"/>
    <w:rsid w:val="00DE5899"/>
    <w:rsid w:val="00DE6C32"/>
    <w:rsid w:val="00DF03BE"/>
    <w:rsid w:val="00DF0961"/>
    <w:rsid w:val="00DF0D8A"/>
    <w:rsid w:val="00DF0EB3"/>
    <w:rsid w:val="00DF1349"/>
    <w:rsid w:val="00DF2F9E"/>
    <w:rsid w:val="00DF327A"/>
    <w:rsid w:val="00DF4257"/>
    <w:rsid w:val="00DF5627"/>
    <w:rsid w:val="00DF606E"/>
    <w:rsid w:val="00DF66C9"/>
    <w:rsid w:val="00DF6B9A"/>
    <w:rsid w:val="00DF6D63"/>
    <w:rsid w:val="00DF70B2"/>
    <w:rsid w:val="00DF747F"/>
    <w:rsid w:val="00E01EB5"/>
    <w:rsid w:val="00E02406"/>
    <w:rsid w:val="00E029F3"/>
    <w:rsid w:val="00E02A54"/>
    <w:rsid w:val="00E032F4"/>
    <w:rsid w:val="00E03E17"/>
    <w:rsid w:val="00E03E1B"/>
    <w:rsid w:val="00E045B8"/>
    <w:rsid w:val="00E04E8A"/>
    <w:rsid w:val="00E05BF4"/>
    <w:rsid w:val="00E05ED4"/>
    <w:rsid w:val="00E062C7"/>
    <w:rsid w:val="00E06DAF"/>
    <w:rsid w:val="00E1026E"/>
    <w:rsid w:val="00E10DC0"/>
    <w:rsid w:val="00E11481"/>
    <w:rsid w:val="00E1336F"/>
    <w:rsid w:val="00E144F6"/>
    <w:rsid w:val="00E14FEC"/>
    <w:rsid w:val="00E15F03"/>
    <w:rsid w:val="00E16419"/>
    <w:rsid w:val="00E16AA1"/>
    <w:rsid w:val="00E16E25"/>
    <w:rsid w:val="00E1724D"/>
    <w:rsid w:val="00E17478"/>
    <w:rsid w:val="00E17B67"/>
    <w:rsid w:val="00E2026D"/>
    <w:rsid w:val="00E219F6"/>
    <w:rsid w:val="00E21C7B"/>
    <w:rsid w:val="00E22954"/>
    <w:rsid w:val="00E235A9"/>
    <w:rsid w:val="00E23B8E"/>
    <w:rsid w:val="00E24566"/>
    <w:rsid w:val="00E2477D"/>
    <w:rsid w:val="00E24CA9"/>
    <w:rsid w:val="00E2609A"/>
    <w:rsid w:val="00E26247"/>
    <w:rsid w:val="00E2675D"/>
    <w:rsid w:val="00E26A55"/>
    <w:rsid w:val="00E26C3B"/>
    <w:rsid w:val="00E27183"/>
    <w:rsid w:val="00E305A8"/>
    <w:rsid w:val="00E31987"/>
    <w:rsid w:val="00E31CC7"/>
    <w:rsid w:val="00E31D45"/>
    <w:rsid w:val="00E32C01"/>
    <w:rsid w:val="00E342C7"/>
    <w:rsid w:val="00E34733"/>
    <w:rsid w:val="00E34FC7"/>
    <w:rsid w:val="00E35434"/>
    <w:rsid w:val="00E360DE"/>
    <w:rsid w:val="00E41101"/>
    <w:rsid w:val="00E41C55"/>
    <w:rsid w:val="00E42C6E"/>
    <w:rsid w:val="00E42CA1"/>
    <w:rsid w:val="00E433D2"/>
    <w:rsid w:val="00E434B3"/>
    <w:rsid w:val="00E440B3"/>
    <w:rsid w:val="00E44151"/>
    <w:rsid w:val="00E45CAE"/>
    <w:rsid w:val="00E47F7C"/>
    <w:rsid w:val="00E50C5B"/>
    <w:rsid w:val="00E51726"/>
    <w:rsid w:val="00E51E8B"/>
    <w:rsid w:val="00E52694"/>
    <w:rsid w:val="00E52FDE"/>
    <w:rsid w:val="00E53004"/>
    <w:rsid w:val="00E5319C"/>
    <w:rsid w:val="00E553C1"/>
    <w:rsid w:val="00E562CD"/>
    <w:rsid w:val="00E61CEC"/>
    <w:rsid w:val="00E6312F"/>
    <w:rsid w:val="00E63863"/>
    <w:rsid w:val="00E6430A"/>
    <w:rsid w:val="00E647C1"/>
    <w:rsid w:val="00E67C68"/>
    <w:rsid w:val="00E7004F"/>
    <w:rsid w:val="00E70496"/>
    <w:rsid w:val="00E71E09"/>
    <w:rsid w:val="00E72243"/>
    <w:rsid w:val="00E7325C"/>
    <w:rsid w:val="00E732DD"/>
    <w:rsid w:val="00E7400C"/>
    <w:rsid w:val="00E749F5"/>
    <w:rsid w:val="00E74F97"/>
    <w:rsid w:val="00E751D1"/>
    <w:rsid w:val="00E75F6E"/>
    <w:rsid w:val="00E774FE"/>
    <w:rsid w:val="00E77760"/>
    <w:rsid w:val="00E77B47"/>
    <w:rsid w:val="00E800F3"/>
    <w:rsid w:val="00E840A7"/>
    <w:rsid w:val="00E842FA"/>
    <w:rsid w:val="00E85A05"/>
    <w:rsid w:val="00E86120"/>
    <w:rsid w:val="00E862C8"/>
    <w:rsid w:val="00E87CA5"/>
    <w:rsid w:val="00E87F78"/>
    <w:rsid w:val="00E9090F"/>
    <w:rsid w:val="00E91BA9"/>
    <w:rsid w:val="00E92233"/>
    <w:rsid w:val="00E9225B"/>
    <w:rsid w:val="00E93A97"/>
    <w:rsid w:val="00E93BFE"/>
    <w:rsid w:val="00E93DC5"/>
    <w:rsid w:val="00E954A2"/>
    <w:rsid w:val="00E9587D"/>
    <w:rsid w:val="00E962E7"/>
    <w:rsid w:val="00E963C7"/>
    <w:rsid w:val="00E96ED9"/>
    <w:rsid w:val="00E97EF9"/>
    <w:rsid w:val="00EA05E8"/>
    <w:rsid w:val="00EA0B13"/>
    <w:rsid w:val="00EA10BF"/>
    <w:rsid w:val="00EA118C"/>
    <w:rsid w:val="00EA2E89"/>
    <w:rsid w:val="00EA3D64"/>
    <w:rsid w:val="00EA4CA6"/>
    <w:rsid w:val="00EA508B"/>
    <w:rsid w:val="00EA6657"/>
    <w:rsid w:val="00EA72C0"/>
    <w:rsid w:val="00EA7458"/>
    <w:rsid w:val="00EB013D"/>
    <w:rsid w:val="00EB04B3"/>
    <w:rsid w:val="00EB2992"/>
    <w:rsid w:val="00EB3197"/>
    <w:rsid w:val="00EB49D3"/>
    <w:rsid w:val="00EB4BB1"/>
    <w:rsid w:val="00EB5A9B"/>
    <w:rsid w:val="00EB5AB9"/>
    <w:rsid w:val="00EB5ABB"/>
    <w:rsid w:val="00EB6182"/>
    <w:rsid w:val="00EB7EF9"/>
    <w:rsid w:val="00EC0B31"/>
    <w:rsid w:val="00EC1BAC"/>
    <w:rsid w:val="00EC230A"/>
    <w:rsid w:val="00EC27E9"/>
    <w:rsid w:val="00EC2A3B"/>
    <w:rsid w:val="00EC3901"/>
    <w:rsid w:val="00EC44BB"/>
    <w:rsid w:val="00EC4532"/>
    <w:rsid w:val="00EC5C26"/>
    <w:rsid w:val="00EC6130"/>
    <w:rsid w:val="00EC62AF"/>
    <w:rsid w:val="00EC6346"/>
    <w:rsid w:val="00EC6955"/>
    <w:rsid w:val="00EC732C"/>
    <w:rsid w:val="00EC7945"/>
    <w:rsid w:val="00EC7E26"/>
    <w:rsid w:val="00ED18E5"/>
    <w:rsid w:val="00ED2992"/>
    <w:rsid w:val="00ED40E5"/>
    <w:rsid w:val="00ED479D"/>
    <w:rsid w:val="00ED56E0"/>
    <w:rsid w:val="00ED6F26"/>
    <w:rsid w:val="00ED73F5"/>
    <w:rsid w:val="00ED759F"/>
    <w:rsid w:val="00ED7C51"/>
    <w:rsid w:val="00EE054F"/>
    <w:rsid w:val="00EE0FD1"/>
    <w:rsid w:val="00EE10C9"/>
    <w:rsid w:val="00EE2218"/>
    <w:rsid w:val="00EE2495"/>
    <w:rsid w:val="00EE257D"/>
    <w:rsid w:val="00EE34F7"/>
    <w:rsid w:val="00EE423C"/>
    <w:rsid w:val="00EE445F"/>
    <w:rsid w:val="00EE49AB"/>
    <w:rsid w:val="00EE4FCE"/>
    <w:rsid w:val="00EE65D3"/>
    <w:rsid w:val="00EE72BF"/>
    <w:rsid w:val="00EE79A3"/>
    <w:rsid w:val="00EE7E83"/>
    <w:rsid w:val="00EF07A5"/>
    <w:rsid w:val="00EF15EA"/>
    <w:rsid w:val="00EF2BCF"/>
    <w:rsid w:val="00EF325D"/>
    <w:rsid w:val="00EF32C8"/>
    <w:rsid w:val="00EF33CE"/>
    <w:rsid w:val="00EF36A3"/>
    <w:rsid w:val="00EF43C4"/>
    <w:rsid w:val="00EF45A9"/>
    <w:rsid w:val="00EF6D5A"/>
    <w:rsid w:val="00EF7154"/>
    <w:rsid w:val="00EF77C5"/>
    <w:rsid w:val="00F004A7"/>
    <w:rsid w:val="00F008A7"/>
    <w:rsid w:val="00F01AD2"/>
    <w:rsid w:val="00F0275C"/>
    <w:rsid w:val="00F0284E"/>
    <w:rsid w:val="00F0362D"/>
    <w:rsid w:val="00F0497E"/>
    <w:rsid w:val="00F050E7"/>
    <w:rsid w:val="00F051FB"/>
    <w:rsid w:val="00F06E9B"/>
    <w:rsid w:val="00F070DB"/>
    <w:rsid w:val="00F07128"/>
    <w:rsid w:val="00F077B2"/>
    <w:rsid w:val="00F07B15"/>
    <w:rsid w:val="00F100B2"/>
    <w:rsid w:val="00F100CB"/>
    <w:rsid w:val="00F11CC4"/>
    <w:rsid w:val="00F1256D"/>
    <w:rsid w:val="00F12D11"/>
    <w:rsid w:val="00F13218"/>
    <w:rsid w:val="00F138A7"/>
    <w:rsid w:val="00F14E62"/>
    <w:rsid w:val="00F15D9E"/>
    <w:rsid w:val="00F15E56"/>
    <w:rsid w:val="00F16872"/>
    <w:rsid w:val="00F1707E"/>
    <w:rsid w:val="00F17366"/>
    <w:rsid w:val="00F20157"/>
    <w:rsid w:val="00F203CE"/>
    <w:rsid w:val="00F206E4"/>
    <w:rsid w:val="00F21162"/>
    <w:rsid w:val="00F227DD"/>
    <w:rsid w:val="00F22E7F"/>
    <w:rsid w:val="00F23605"/>
    <w:rsid w:val="00F24AE1"/>
    <w:rsid w:val="00F257AD"/>
    <w:rsid w:val="00F26304"/>
    <w:rsid w:val="00F276FF"/>
    <w:rsid w:val="00F30183"/>
    <w:rsid w:val="00F30476"/>
    <w:rsid w:val="00F308BF"/>
    <w:rsid w:val="00F31648"/>
    <w:rsid w:val="00F3229F"/>
    <w:rsid w:val="00F32F22"/>
    <w:rsid w:val="00F33472"/>
    <w:rsid w:val="00F339AD"/>
    <w:rsid w:val="00F34287"/>
    <w:rsid w:val="00F34E55"/>
    <w:rsid w:val="00F34F46"/>
    <w:rsid w:val="00F359B5"/>
    <w:rsid w:val="00F35A33"/>
    <w:rsid w:val="00F36FC9"/>
    <w:rsid w:val="00F370B0"/>
    <w:rsid w:val="00F37935"/>
    <w:rsid w:val="00F40036"/>
    <w:rsid w:val="00F401A8"/>
    <w:rsid w:val="00F403FE"/>
    <w:rsid w:val="00F431C0"/>
    <w:rsid w:val="00F43C48"/>
    <w:rsid w:val="00F44B1B"/>
    <w:rsid w:val="00F466B6"/>
    <w:rsid w:val="00F46B8B"/>
    <w:rsid w:val="00F51130"/>
    <w:rsid w:val="00F51886"/>
    <w:rsid w:val="00F51C71"/>
    <w:rsid w:val="00F52081"/>
    <w:rsid w:val="00F52218"/>
    <w:rsid w:val="00F5252B"/>
    <w:rsid w:val="00F52F6E"/>
    <w:rsid w:val="00F5359E"/>
    <w:rsid w:val="00F54929"/>
    <w:rsid w:val="00F565BD"/>
    <w:rsid w:val="00F56ECA"/>
    <w:rsid w:val="00F56F51"/>
    <w:rsid w:val="00F5745A"/>
    <w:rsid w:val="00F57E8C"/>
    <w:rsid w:val="00F60845"/>
    <w:rsid w:val="00F61C65"/>
    <w:rsid w:val="00F61CAE"/>
    <w:rsid w:val="00F62BAE"/>
    <w:rsid w:val="00F63A80"/>
    <w:rsid w:val="00F642AB"/>
    <w:rsid w:val="00F64E77"/>
    <w:rsid w:val="00F652F2"/>
    <w:rsid w:val="00F662EE"/>
    <w:rsid w:val="00F70A88"/>
    <w:rsid w:val="00F70AE8"/>
    <w:rsid w:val="00F71906"/>
    <w:rsid w:val="00F71C48"/>
    <w:rsid w:val="00F730E4"/>
    <w:rsid w:val="00F737D4"/>
    <w:rsid w:val="00F7396C"/>
    <w:rsid w:val="00F74C8D"/>
    <w:rsid w:val="00F74ED9"/>
    <w:rsid w:val="00F74FD2"/>
    <w:rsid w:val="00F756D0"/>
    <w:rsid w:val="00F75AF6"/>
    <w:rsid w:val="00F80853"/>
    <w:rsid w:val="00F80CE2"/>
    <w:rsid w:val="00F811E2"/>
    <w:rsid w:val="00F81C99"/>
    <w:rsid w:val="00F821C7"/>
    <w:rsid w:val="00F8290D"/>
    <w:rsid w:val="00F82B33"/>
    <w:rsid w:val="00F82EEE"/>
    <w:rsid w:val="00F8325F"/>
    <w:rsid w:val="00F83968"/>
    <w:rsid w:val="00F84A2E"/>
    <w:rsid w:val="00F86127"/>
    <w:rsid w:val="00F86F80"/>
    <w:rsid w:val="00F87FCC"/>
    <w:rsid w:val="00F90A03"/>
    <w:rsid w:val="00F90D66"/>
    <w:rsid w:val="00F93C85"/>
    <w:rsid w:val="00F93D44"/>
    <w:rsid w:val="00F94AF1"/>
    <w:rsid w:val="00F9561B"/>
    <w:rsid w:val="00F968CA"/>
    <w:rsid w:val="00F96AF0"/>
    <w:rsid w:val="00FA0E64"/>
    <w:rsid w:val="00FA201C"/>
    <w:rsid w:val="00FA2058"/>
    <w:rsid w:val="00FA2E0E"/>
    <w:rsid w:val="00FA37DF"/>
    <w:rsid w:val="00FA3CB8"/>
    <w:rsid w:val="00FA4B3F"/>
    <w:rsid w:val="00FA572E"/>
    <w:rsid w:val="00FA5C60"/>
    <w:rsid w:val="00FA5DD4"/>
    <w:rsid w:val="00FA6D87"/>
    <w:rsid w:val="00FA6F25"/>
    <w:rsid w:val="00FA74DF"/>
    <w:rsid w:val="00FB014E"/>
    <w:rsid w:val="00FB1437"/>
    <w:rsid w:val="00FB166C"/>
    <w:rsid w:val="00FB20E3"/>
    <w:rsid w:val="00FB330C"/>
    <w:rsid w:val="00FB4620"/>
    <w:rsid w:val="00FB4775"/>
    <w:rsid w:val="00FB4F43"/>
    <w:rsid w:val="00FB50B2"/>
    <w:rsid w:val="00FB5829"/>
    <w:rsid w:val="00FB6FA7"/>
    <w:rsid w:val="00FC004B"/>
    <w:rsid w:val="00FC0D0E"/>
    <w:rsid w:val="00FC0D49"/>
    <w:rsid w:val="00FC1FCB"/>
    <w:rsid w:val="00FC27DD"/>
    <w:rsid w:val="00FC2ABF"/>
    <w:rsid w:val="00FC3D71"/>
    <w:rsid w:val="00FC53DC"/>
    <w:rsid w:val="00FC5FD6"/>
    <w:rsid w:val="00FC6DDF"/>
    <w:rsid w:val="00FC6F85"/>
    <w:rsid w:val="00FC6FA4"/>
    <w:rsid w:val="00FC75D6"/>
    <w:rsid w:val="00FC7A1D"/>
    <w:rsid w:val="00FC7D91"/>
    <w:rsid w:val="00FD14EB"/>
    <w:rsid w:val="00FD178B"/>
    <w:rsid w:val="00FD2CE2"/>
    <w:rsid w:val="00FD4338"/>
    <w:rsid w:val="00FD53B3"/>
    <w:rsid w:val="00FD55B9"/>
    <w:rsid w:val="00FD55D9"/>
    <w:rsid w:val="00FD5DF6"/>
    <w:rsid w:val="00FD72D8"/>
    <w:rsid w:val="00FD7B1A"/>
    <w:rsid w:val="00FD7D7D"/>
    <w:rsid w:val="00FE1ED4"/>
    <w:rsid w:val="00FE21D6"/>
    <w:rsid w:val="00FE37EE"/>
    <w:rsid w:val="00FE5E91"/>
    <w:rsid w:val="00FE6A96"/>
    <w:rsid w:val="00FF171D"/>
    <w:rsid w:val="00FF256F"/>
    <w:rsid w:val="00FF4CCF"/>
    <w:rsid w:val="00FF5999"/>
    <w:rsid w:val="00FF5B28"/>
    <w:rsid w:val="00FF64DB"/>
    <w:rsid w:val="00FF69FA"/>
    <w:rsid w:val="00FF7133"/>
    <w:rsid w:val="00FF7D8A"/>
    <w:rsid w:val="01312F63"/>
    <w:rsid w:val="01417758"/>
    <w:rsid w:val="01CC50FF"/>
    <w:rsid w:val="01CF20DE"/>
    <w:rsid w:val="02161391"/>
    <w:rsid w:val="02BC0727"/>
    <w:rsid w:val="04067E50"/>
    <w:rsid w:val="04241F35"/>
    <w:rsid w:val="044B7594"/>
    <w:rsid w:val="04BE6757"/>
    <w:rsid w:val="058F525E"/>
    <w:rsid w:val="05A56212"/>
    <w:rsid w:val="060F35B1"/>
    <w:rsid w:val="06286FD8"/>
    <w:rsid w:val="066E3D24"/>
    <w:rsid w:val="06732F60"/>
    <w:rsid w:val="06EB717E"/>
    <w:rsid w:val="06FB7D4E"/>
    <w:rsid w:val="07E8334B"/>
    <w:rsid w:val="08202AE5"/>
    <w:rsid w:val="084B6C7C"/>
    <w:rsid w:val="08BE3F07"/>
    <w:rsid w:val="09623162"/>
    <w:rsid w:val="09B97CD9"/>
    <w:rsid w:val="09C30113"/>
    <w:rsid w:val="0B450945"/>
    <w:rsid w:val="0BDD298D"/>
    <w:rsid w:val="0D3C43B8"/>
    <w:rsid w:val="0DCE2FD8"/>
    <w:rsid w:val="0E246059"/>
    <w:rsid w:val="0EE5534C"/>
    <w:rsid w:val="0F395A55"/>
    <w:rsid w:val="10B14DA0"/>
    <w:rsid w:val="11397FB3"/>
    <w:rsid w:val="115A0E16"/>
    <w:rsid w:val="11B83DE6"/>
    <w:rsid w:val="11C539EB"/>
    <w:rsid w:val="122B423E"/>
    <w:rsid w:val="12305A14"/>
    <w:rsid w:val="1255519F"/>
    <w:rsid w:val="126A4496"/>
    <w:rsid w:val="12B40A68"/>
    <w:rsid w:val="133614BA"/>
    <w:rsid w:val="13B21359"/>
    <w:rsid w:val="13BE1D68"/>
    <w:rsid w:val="13D0338A"/>
    <w:rsid w:val="15005047"/>
    <w:rsid w:val="150A4793"/>
    <w:rsid w:val="151C682B"/>
    <w:rsid w:val="16697BD2"/>
    <w:rsid w:val="17952BA4"/>
    <w:rsid w:val="17EC4060"/>
    <w:rsid w:val="18195C85"/>
    <w:rsid w:val="18A62B93"/>
    <w:rsid w:val="18B554BD"/>
    <w:rsid w:val="18C90FBC"/>
    <w:rsid w:val="18EC5604"/>
    <w:rsid w:val="198F2191"/>
    <w:rsid w:val="1AA879AF"/>
    <w:rsid w:val="1AFE2916"/>
    <w:rsid w:val="1BA07391"/>
    <w:rsid w:val="1BCC1635"/>
    <w:rsid w:val="1BF30C1D"/>
    <w:rsid w:val="1C000196"/>
    <w:rsid w:val="1C26590B"/>
    <w:rsid w:val="1C373E44"/>
    <w:rsid w:val="1C850D11"/>
    <w:rsid w:val="1CAB7398"/>
    <w:rsid w:val="1CC836DA"/>
    <w:rsid w:val="1D077C9E"/>
    <w:rsid w:val="1E4470D6"/>
    <w:rsid w:val="1E805390"/>
    <w:rsid w:val="1EB6374B"/>
    <w:rsid w:val="1F7D2DCE"/>
    <w:rsid w:val="20150522"/>
    <w:rsid w:val="20787179"/>
    <w:rsid w:val="212678E0"/>
    <w:rsid w:val="213D5D38"/>
    <w:rsid w:val="22A961CB"/>
    <w:rsid w:val="22DE3AAC"/>
    <w:rsid w:val="23B861C0"/>
    <w:rsid w:val="24C22EC0"/>
    <w:rsid w:val="24DE0735"/>
    <w:rsid w:val="25853DE3"/>
    <w:rsid w:val="265433F0"/>
    <w:rsid w:val="269A7192"/>
    <w:rsid w:val="273B3C61"/>
    <w:rsid w:val="280C3380"/>
    <w:rsid w:val="28281FAF"/>
    <w:rsid w:val="28423139"/>
    <w:rsid w:val="287933A5"/>
    <w:rsid w:val="28984FC9"/>
    <w:rsid w:val="28B10581"/>
    <w:rsid w:val="29693E94"/>
    <w:rsid w:val="2A093EB4"/>
    <w:rsid w:val="2A9F0028"/>
    <w:rsid w:val="2AD06079"/>
    <w:rsid w:val="2BA3081E"/>
    <w:rsid w:val="2BC61299"/>
    <w:rsid w:val="2C1935D7"/>
    <w:rsid w:val="2C9B4E32"/>
    <w:rsid w:val="2D103885"/>
    <w:rsid w:val="2DBF7704"/>
    <w:rsid w:val="2E597998"/>
    <w:rsid w:val="2EF43E97"/>
    <w:rsid w:val="30111972"/>
    <w:rsid w:val="308226C7"/>
    <w:rsid w:val="30EB60D1"/>
    <w:rsid w:val="32575304"/>
    <w:rsid w:val="328A2477"/>
    <w:rsid w:val="32E12CEE"/>
    <w:rsid w:val="3343094E"/>
    <w:rsid w:val="34ED0ED3"/>
    <w:rsid w:val="36B7119E"/>
    <w:rsid w:val="37096E0B"/>
    <w:rsid w:val="3795001A"/>
    <w:rsid w:val="37FF0F04"/>
    <w:rsid w:val="38090BE9"/>
    <w:rsid w:val="38D030A4"/>
    <w:rsid w:val="38E7272B"/>
    <w:rsid w:val="3918762E"/>
    <w:rsid w:val="39255202"/>
    <w:rsid w:val="393A389E"/>
    <w:rsid w:val="39F60425"/>
    <w:rsid w:val="3A2D2104"/>
    <w:rsid w:val="3B027CA5"/>
    <w:rsid w:val="3B66643B"/>
    <w:rsid w:val="3BAB2A16"/>
    <w:rsid w:val="3BB840E2"/>
    <w:rsid w:val="3BB93E4A"/>
    <w:rsid w:val="3D304261"/>
    <w:rsid w:val="3D5C2934"/>
    <w:rsid w:val="3ED329E6"/>
    <w:rsid w:val="3ED46AEF"/>
    <w:rsid w:val="3EE40887"/>
    <w:rsid w:val="3F4F4696"/>
    <w:rsid w:val="3F970711"/>
    <w:rsid w:val="409A0A3D"/>
    <w:rsid w:val="41151DB4"/>
    <w:rsid w:val="41504E33"/>
    <w:rsid w:val="4211224E"/>
    <w:rsid w:val="428072A0"/>
    <w:rsid w:val="42E253C9"/>
    <w:rsid w:val="43261C4B"/>
    <w:rsid w:val="4327264E"/>
    <w:rsid w:val="434D1CD9"/>
    <w:rsid w:val="43BD017C"/>
    <w:rsid w:val="4441254B"/>
    <w:rsid w:val="445E0EC1"/>
    <w:rsid w:val="4472636D"/>
    <w:rsid w:val="449B6747"/>
    <w:rsid w:val="45303661"/>
    <w:rsid w:val="45967968"/>
    <w:rsid w:val="45DC31F9"/>
    <w:rsid w:val="461B43B7"/>
    <w:rsid w:val="46300CB2"/>
    <w:rsid w:val="463364C0"/>
    <w:rsid w:val="466612B1"/>
    <w:rsid w:val="47887784"/>
    <w:rsid w:val="47BD6A22"/>
    <w:rsid w:val="47FE1E41"/>
    <w:rsid w:val="48667D39"/>
    <w:rsid w:val="490C6072"/>
    <w:rsid w:val="4940731F"/>
    <w:rsid w:val="49787384"/>
    <w:rsid w:val="49D85288"/>
    <w:rsid w:val="4A0344B4"/>
    <w:rsid w:val="4A0A5BF8"/>
    <w:rsid w:val="4A1D6FBE"/>
    <w:rsid w:val="4B5634D7"/>
    <w:rsid w:val="4B5A7CCA"/>
    <w:rsid w:val="4BC160D0"/>
    <w:rsid w:val="4D2A6BC7"/>
    <w:rsid w:val="4D9F1366"/>
    <w:rsid w:val="4EFA6231"/>
    <w:rsid w:val="4F32407D"/>
    <w:rsid w:val="50303C1D"/>
    <w:rsid w:val="506B6218"/>
    <w:rsid w:val="51903C1F"/>
    <w:rsid w:val="52B31282"/>
    <w:rsid w:val="539B5D2F"/>
    <w:rsid w:val="54082AE1"/>
    <w:rsid w:val="541359C2"/>
    <w:rsid w:val="562A2C1B"/>
    <w:rsid w:val="56532133"/>
    <w:rsid w:val="56EA18C1"/>
    <w:rsid w:val="57226BC3"/>
    <w:rsid w:val="579C022B"/>
    <w:rsid w:val="57D34AA0"/>
    <w:rsid w:val="58297C57"/>
    <w:rsid w:val="582D0BE6"/>
    <w:rsid w:val="585B04BD"/>
    <w:rsid w:val="58666C55"/>
    <w:rsid w:val="58D07763"/>
    <w:rsid w:val="594F6E68"/>
    <w:rsid w:val="5B002643"/>
    <w:rsid w:val="5BCD4F7A"/>
    <w:rsid w:val="5CE755B0"/>
    <w:rsid w:val="5DB46785"/>
    <w:rsid w:val="5DE021B9"/>
    <w:rsid w:val="5E3D6D33"/>
    <w:rsid w:val="5E9131D5"/>
    <w:rsid w:val="5F6A3E5D"/>
    <w:rsid w:val="5FB0504C"/>
    <w:rsid w:val="617769BF"/>
    <w:rsid w:val="617A24C3"/>
    <w:rsid w:val="62B115D9"/>
    <w:rsid w:val="63805E03"/>
    <w:rsid w:val="643949D6"/>
    <w:rsid w:val="64BC4C3C"/>
    <w:rsid w:val="64C6317C"/>
    <w:rsid w:val="64F64031"/>
    <w:rsid w:val="65F259CB"/>
    <w:rsid w:val="663A36BF"/>
    <w:rsid w:val="66DF29E4"/>
    <w:rsid w:val="676365E7"/>
    <w:rsid w:val="67806F5E"/>
    <w:rsid w:val="691B3275"/>
    <w:rsid w:val="69537337"/>
    <w:rsid w:val="69783018"/>
    <w:rsid w:val="69801F8B"/>
    <w:rsid w:val="6A082C41"/>
    <w:rsid w:val="6A0C6F55"/>
    <w:rsid w:val="6C5516E2"/>
    <w:rsid w:val="6CA404CA"/>
    <w:rsid w:val="6DBC5D25"/>
    <w:rsid w:val="6DCD5018"/>
    <w:rsid w:val="6E606C6A"/>
    <w:rsid w:val="6EEC7940"/>
    <w:rsid w:val="6FAA5FFD"/>
    <w:rsid w:val="70234260"/>
    <w:rsid w:val="71950F82"/>
    <w:rsid w:val="72023811"/>
    <w:rsid w:val="722B0983"/>
    <w:rsid w:val="72534604"/>
    <w:rsid w:val="729F4F47"/>
    <w:rsid w:val="73DF5CA9"/>
    <w:rsid w:val="741A6952"/>
    <w:rsid w:val="74F33A3D"/>
    <w:rsid w:val="74F75E16"/>
    <w:rsid w:val="755F6AE2"/>
    <w:rsid w:val="757A2195"/>
    <w:rsid w:val="76123F34"/>
    <w:rsid w:val="7684776F"/>
    <w:rsid w:val="76A91407"/>
    <w:rsid w:val="76E93A81"/>
    <w:rsid w:val="772E6FC9"/>
    <w:rsid w:val="773474BA"/>
    <w:rsid w:val="77B12CC7"/>
    <w:rsid w:val="78673073"/>
    <w:rsid w:val="788E7CEB"/>
    <w:rsid w:val="794428A8"/>
    <w:rsid w:val="79CD23C3"/>
    <w:rsid w:val="79D03FFA"/>
    <w:rsid w:val="7A194E91"/>
    <w:rsid w:val="7C45009D"/>
    <w:rsid w:val="7D094CD6"/>
    <w:rsid w:val="7E704E13"/>
    <w:rsid w:val="7E722356"/>
    <w:rsid w:val="7EB3166A"/>
    <w:rsid w:val="7F51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autoRedefine/>
    <w:qFormat/>
    <w:uiPriority w:val="99"/>
    <w:pPr>
      <w:tabs>
        <w:tab w:val="right" w:leader="dot" w:pos="9061"/>
      </w:tabs>
      <w:jc w:val="center"/>
      <w:outlineLvl w:val="0"/>
    </w:pPr>
    <w:rPr>
      <w:b/>
      <w:sz w:val="36"/>
    </w:rPr>
  </w:style>
  <w:style w:type="paragraph" w:styleId="4">
    <w:name w:val="heading 3"/>
    <w:basedOn w:val="1"/>
    <w:next w:val="1"/>
    <w:link w:val="41"/>
    <w:autoRedefine/>
    <w:qFormat/>
    <w:uiPriority w:val="9"/>
    <w:pPr>
      <w:keepNext/>
      <w:keepLines/>
      <w:spacing w:line="416" w:lineRule="auto"/>
      <w:outlineLvl w:val="2"/>
    </w:pPr>
    <w:rPr>
      <w:b/>
      <w:bCs/>
      <w:sz w:val="32"/>
      <w:szCs w:val="32"/>
      <w:lang w:val="zh-CN"/>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qFormat/>
    <w:uiPriority w:val="39"/>
    <w:pPr>
      <w:spacing w:line="360" w:lineRule="auto"/>
      <w:ind w:left="420"/>
      <w:jc w:val="left"/>
    </w:pPr>
    <w:rPr>
      <w:iCs/>
      <w:sz w:val="24"/>
    </w:rPr>
  </w:style>
  <w:style w:type="paragraph" w:styleId="5">
    <w:name w:val="annotation text"/>
    <w:basedOn w:val="1"/>
    <w:link w:val="26"/>
    <w:autoRedefine/>
    <w:qFormat/>
    <w:uiPriority w:val="0"/>
    <w:pPr>
      <w:jc w:val="left"/>
    </w:pPr>
    <w:rPr>
      <w:lang w:val="zh-CN"/>
    </w:rPr>
  </w:style>
  <w:style w:type="paragraph" w:styleId="6">
    <w:name w:val="Body Text"/>
    <w:basedOn w:val="1"/>
    <w:link w:val="43"/>
    <w:autoRedefine/>
    <w:qFormat/>
    <w:uiPriority w:val="0"/>
    <w:rPr>
      <w:rFonts w:ascii="仿宋_GB2312" w:eastAsia="仿宋_GB2312"/>
      <w:sz w:val="32"/>
      <w:lang w:val="zh-CN"/>
    </w:rPr>
  </w:style>
  <w:style w:type="paragraph" w:styleId="7">
    <w:name w:val="Body Text Indent"/>
    <w:basedOn w:val="1"/>
    <w:link w:val="42"/>
    <w:autoRedefine/>
    <w:unhideWhenUsed/>
    <w:qFormat/>
    <w:uiPriority w:val="99"/>
    <w:pPr>
      <w:spacing w:after="120"/>
      <w:ind w:left="420" w:leftChars="200"/>
    </w:pPr>
    <w:rPr>
      <w:rFonts w:ascii="Calibri" w:hAnsi="Calibri"/>
      <w:szCs w:val="22"/>
      <w:lang w:val="zh-CN"/>
    </w:rPr>
  </w:style>
  <w:style w:type="paragraph" w:styleId="8">
    <w:name w:val="Plain Text"/>
    <w:basedOn w:val="1"/>
    <w:link w:val="30"/>
    <w:autoRedefine/>
    <w:qFormat/>
    <w:uiPriority w:val="0"/>
    <w:pPr>
      <w:spacing w:line="360" w:lineRule="auto"/>
      <w:jc w:val="left"/>
    </w:pPr>
    <w:rPr>
      <w:rFonts w:ascii="宋体" w:hAnsi="Courier New"/>
    </w:rPr>
  </w:style>
  <w:style w:type="paragraph" w:styleId="9">
    <w:name w:val="Body Text Indent 2"/>
    <w:basedOn w:val="1"/>
    <w:autoRedefine/>
    <w:qFormat/>
    <w:uiPriority w:val="0"/>
    <w:pPr>
      <w:spacing w:after="120" w:line="480" w:lineRule="auto"/>
      <w:ind w:left="420" w:leftChars="200"/>
    </w:pPr>
  </w:style>
  <w:style w:type="paragraph" w:styleId="10">
    <w:name w:val="Balloon Text"/>
    <w:basedOn w:val="1"/>
    <w:link w:val="35"/>
    <w:autoRedefine/>
    <w:qFormat/>
    <w:uiPriority w:val="99"/>
    <w:rPr>
      <w:sz w:val="18"/>
      <w:szCs w:val="18"/>
      <w:lang w:val="zh-CN"/>
    </w:rPr>
  </w:style>
  <w:style w:type="paragraph" w:styleId="11">
    <w:name w:val="footer"/>
    <w:basedOn w:val="1"/>
    <w:link w:val="36"/>
    <w:autoRedefine/>
    <w:qFormat/>
    <w:uiPriority w:val="99"/>
    <w:pPr>
      <w:tabs>
        <w:tab w:val="center" w:pos="4153"/>
        <w:tab w:val="right" w:pos="8306"/>
      </w:tabs>
      <w:snapToGrid w:val="0"/>
      <w:jc w:val="left"/>
    </w:pPr>
    <w:rPr>
      <w:sz w:val="18"/>
      <w:szCs w:val="18"/>
      <w:lang w:val="zh-CN"/>
    </w:rPr>
  </w:style>
  <w:style w:type="paragraph" w:styleId="12">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14">
    <w:name w:val="List"/>
    <w:basedOn w:val="1"/>
    <w:autoRedefine/>
    <w:qFormat/>
    <w:uiPriority w:val="0"/>
    <w:pPr>
      <w:ind w:left="200" w:hanging="200" w:hangingChars="200"/>
    </w:pPr>
  </w:style>
  <w:style w:type="paragraph" w:styleId="15">
    <w:name w:val="toc 2"/>
    <w:basedOn w:val="1"/>
    <w:next w:val="1"/>
    <w:autoRedefine/>
    <w:unhideWhenUsed/>
    <w:qFormat/>
    <w:uiPriority w:val="0"/>
    <w:pPr>
      <w:ind w:left="420" w:leftChars="200"/>
    </w:pPr>
  </w:style>
  <w:style w:type="paragraph" w:styleId="16">
    <w:name w:val="annotation subject"/>
    <w:basedOn w:val="5"/>
    <w:next w:val="5"/>
    <w:link w:val="38"/>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rPr>
  </w:style>
  <w:style w:type="character" w:styleId="21">
    <w:name w:val="page number"/>
    <w:basedOn w:val="19"/>
    <w:autoRedefine/>
    <w:qFormat/>
    <w:uiPriority w:val="0"/>
  </w:style>
  <w:style w:type="character" w:styleId="22">
    <w:name w:val="FollowedHyperlink"/>
    <w:autoRedefine/>
    <w:qFormat/>
    <w:uiPriority w:val="99"/>
    <w:rPr>
      <w:color w:val="800080"/>
      <w:u w:val="single"/>
    </w:rPr>
  </w:style>
  <w:style w:type="character" w:styleId="23">
    <w:name w:val="Emphasis"/>
    <w:autoRedefine/>
    <w:qFormat/>
    <w:uiPriority w:val="20"/>
    <w:rPr>
      <w:i/>
      <w:iCs/>
    </w:rPr>
  </w:style>
  <w:style w:type="character" w:styleId="24">
    <w:name w:val="Hyperlink"/>
    <w:autoRedefine/>
    <w:qFormat/>
    <w:uiPriority w:val="99"/>
    <w:rPr>
      <w:rFonts w:cs="Times New Roman"/>
      <w:color w:val="1F4F88"/>
      <w:u w:val="none"/>
    </w:rPr>
  </w:style>
  <w:style w:type="character" w:styleId="25">
    <w:name w:val="annotation reference"/>
    <w:autoRedefine/>
    <w:qFormat/>
    <w:uiPriority w:val="0"/>
    <w:rPr>
      <w:sz w:val="21"/>
      <w:szCs w:val="21"/>
    </w:rPr>
  </w:style>
  <w:style w:type="character" w:customStyle="1" w:styleId="26">
    <w:name w:val="批注文字 字符"/>
    <w:link w:val="5"/>
    <w:autoRedefine/>
    <w:qFormat/>
    <w:uiPriority w:val="0"/>
    <w:rPr>
      <w:kern w:val="2"/>
      <w:sz w:val="21"/>
    </w:rPr>
  </w:style>
  <w:style w:type="character" w:customStyle="1" w:styleId="27">
    <w:name w:val="纯文本 Char"/>
    <w:autoRedefine/>
    <w:qFormat/>
    <w:uiPriority w:val="0"/>
    <w:rPr>
      <w:rFonts w:ascii="宋体" w:hAnsi="Courier New" w:eastAsia="宋体"/>
      <w:kern w:val="2"/>
      <w:sz w:val="21"/>
      <w:lang w:val="en-US" w:eastAsia="zh-CN" w:bidi="ar-SA"/>
    </w:rPr>
  </w:style>
  <w:style w:type="character" w:customStyle="1" w:styleId="28">
    <w:name w:val="apple-converted-space"/>
    <w:basedOn w:val="19"/>
    <w:autoRedefine/>
    <w:qFormat/>
    <w:uiPriority w:val="0"/>
  </w:style>
  <w:style w:type="character" w:customStyle="1" w:styleId="29">
    <w:name w:val="Char Char5"/>
    <w:autoRedefine/>
    <w:qFormat/>
    <w:uiPriority w:val="0"/>
    <w:rPr>
      <w:rFonts w:ascii="宋体" w:hAnsi="Courier New" w:eastAsia="宋体"/>
      <w:kern w:val="2"/>
      <w:sz w:val="21"/>
      <w:lang w:val="en-US" w:eastAsia="zh-CN" w:bidi="ar-SA"/>
    </w:rPr>
  </w:style>
  <w:style w:type="character" w:customStyle="1" w:styleId="30">
    <w:name w:val="纯文本 字符"/>
    <w:link w:val="8"/>
    <w:autoRedefine/>
    <w:qFormat/>
    <w:uiPriority w:val="0"/>
    <w:rPr>
      <w:rFonts w:ascii="宋体" w:hAnsi="Courier New"/>
      <w:kern w:val="2"/>
      <w:sz w:val="21"/>
    </w:rPr>
  </w:style>
  <w:style w:type="character" w:customStyle="1" w:styleId="31">
    <w:name w:val="Char Char3"/>
    <w:autoRedefine/>
    <w:qFormat/>
    <w:uiPriority w:val="0"/>
    <w:rPr>
      <w:rFonts w:ascii="宋体" w:hAnsi="Courier New" w:eastAsia="宋体"/>
      <w:kern w:val="2"/>
      <w:sz w:val="21"/>
      <w:lang w:val="en-US" w:eastAsia="zh-CN" w:bidi="ar-SA"/>
    </w:rPr>
  </w:style>
  <w:style w:type="character" w:customStyle="1" w:styleId="32">
    <w:name w:val="正文文本 Char"/>
    <w:autoRedefine/>
    <w:qFormat/>
    <w:uiPriority w:val="0"/>
    <w:rPr>
      <w:rFonts w:ascii="仿宋_GB2312" w:eastAsia="仿宋_GB2312"/>
      <w:kern w:val="2"/>
      <w:sz w:val="32"/>
    </w:rPr>
  </w:style>
  <w:style w:type="character" w:customStyle="1" w:styleId="33">
    <w:name w:val="正文文本缩进 Char"/>
    <w:link w:val="34"/>
    <w:autoRedefine/>
    <w:qFormat/>
    <w:uiPriority w:val="0"/>
    <w:rPr>
      <w:kern w:val="2"/>
      <w:sz w:val="21"/>
    </w:rPr>
  </w:style>
  <w:style w:type="paragraph" w:customStyle="1" w:styleId="34">
    <w:name w:val="正文文本缩进1"/>
    <w:basedOn w:val="1"/>
    <w:link w:val="33"/>
    <w:autoRedefine/>
    <w:qFormat/>
    <w:uiPriority w:val="0"/>
    <w:pPr>
      <w:spacing w:after="120"/>
      <w:ind w:left="420" w:leftChars="200"/>
    </w:pPr>
    <w:rPr>
      <w:lang w:val="zh-CN"/>
    </w:rPr>
  </w:style>
  <w:style w:type="character" w:customStyle="1" w:styleId="35">
    <w:name w:val="批注框文本 字符"/>
    <w:link w:val="10"/>
    <w:autoRedefine/>
    <w:qFormat/>
    <w:uiPriority w:val="99"/>
    <w:rPr>
      <w:kern w:val="2"/>
      <w:sz w:val="18"/>
      <w:szCs w:val="18"/>
    </w:rPr>
  </w:style>
  <w:style w:type="character" w:customStyle="1" w:styleId="36">
    <w:name w:val="页脚 字符"/>
    <w:link w:val="11"/>
    <w:autoRedefine/>
    <w:qFormat/>
    <w:uiPriority w:val="99"/>
    <w:rPr>
      <w:kern w:val="2"/>
      <w:sz w:val="18"/>
      <w:szCs w:val="18"/>
    </w:rPr>
  </w:style>
  <w:style w:type="character" w:customStyle="1" w:styleId="37">
    <w:name w:val="页眉 字符"/>
    <w:link w:val="12"/>
    <w:autoRedefine/>
    <w:qFormat/>
    <w:uiPriority w:val="99"/>
    <w:rPr>
      <w:rFonts w:eastAsia="宋体"/>
      <w:kern w:val="2"/>
      <w:sz w:val="18"/>
      <w:szCs w:val="18"/>
      <w:lang w:val="en-US" w:eastAsia="zh-CN" w:bidi="ar-SA"/>
    </w:rPr>
  </w:style>
  <w:style w:type="character" w:customStyle="1" w:styleId="38">
    <w:name w:val="批注主题 字符"/>
    <w:link w:val="16"/>
    <w:autoRedefine/>
    <w:qFormat/>
    <w:uiPriority w:val="0"/>
    <w:rPr>
      <w:b/>
      <w:bCs/>
      <w:kern w:val="2"/>
      <w:sz w:val="21"/>
    </w:rPr>
  </w:style>
  <w:style w:type="character" w:customStyle="1" w:styleId="39">
    <w:name w:val="Char Char2"/>
    <w:autoRedefine/>
    <w:qFormat/>
    <w:uiPriority w:val="0"/>
    <w:rPr>
      <w:rFonts w:ascii="宋体" w:hAnsi="Courier New" w:cs="宋体"/>
      <w:kern w:val="2"/>
      <w:sz w:val="21"/>
      <w:szCs w:val="21"/>
    </w:rPr>
  </w:style>
  <w:style w:type="character" w:customStyle="1" w:styleId="40">
    <w:name w:val="HTML Markup"/>
    <w:autoRedefine/>
    <w:qFormat/>
    <w:uiPriority w:val="0"/>
    <w:rPr>
      <w:vanish/>
      <w:color w:val="FF0000"/>
    </w:rPr>
  </w:style>
  <w:style w:type="character" w:customStyle="1" w:styleId="41">
    <w:name w:val="标题 3 字符"/>
    <w:link w:val="4"/>
    <w:autoRedefine/>
    <w:qFormat/>
    <w:uiPriority w:val="9"/>
    <w:rPr>
      <w:rFonts w:eastAsia="宋体" w:cs="Times New Roman"/>
      <w:b/>
      <w:bCs/>
      <w:kern w:val="2"/>
      <w:sz w:val="32"/>
      <w:szCs w:val="32"/>
    </w:rPr>
  </w:style>
  <w:style w:type="character" w:customStyle="1" w:styleId="42">
    <w:name w:val="正文文本缩进 字符"/>
    <w:link w:val="7"/>
    <w:autoRedefine/>
    <w:qFormat/>
    <w:uiPriority w:val="99"/>
    <w:rPr>
      <w:rFonts w:ascii="Calibri" w:hAnsi="Calibri" w:eastAsia="宋体" w:cs="Times New Roman"/>
      <w:kern w:val="2"/>
      <w:sz w:val="21"/>
      <w:szCs w:val="22"/>
    </w:rPr>
  </w:style>
  <w:style w:type="character" w:customStyle="1" w:styleId="43">
    <w:name w:val="正文文本 字符"/>
    <w:link w:val="6"/>
    <w:autoRedefine/>
    <w:qFormat/>
    <w:uiPriority w:val="0"/>
    <w:rPr>
      <w:rFonts w:ascii="仿宋_GB2312" w:eastAsia="仿宋_GB2312"/>
      <w:kern w:val="2"/>
      <w:sz w:val="32"/>
    </w:rPr>
  </w:style>
  <w:style w:type="paragraph" w:styleId="44">
    <w:name w:val="List Paragraph"/>
    <w:basedOn w:val="1"/>
    <w:autoRedefine/>
    <w:qFormat/>
    <w:uiPriority w:val="34"/>
    <w:pPr>
      <w:ind w:firstLine="420" w:firstLineChars="200"/>
    </w:pPr>
    <w:rPr>
      <w:rFonts w:ascii="Calibri" w:hAnsi="Calibri"/>
      <w:szCs w:val="22"/>
    </w:rPr>
  </w:style>
  <w:style w:type="paragraph" w:customStyle="1" w:styleId="45">
    <w:name w:val="二级列表 Char"/>
    <w:basedOn w:val="1"/>
    <w:autoRedefine/>
    <w:qFormat/>
    <w:uiPriority w:val="0"/>
    <w:rPr>
      <w:rFonts w:ascii="Calibri" w:hAnsi="Calibri"/>
    </w:rPr>
  </w:style>
  <w:style w:type="paragraph" w:customStyle="1" w:styleId="46">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7">
    <w:name w:val="列出段落1"/>
    <w:basedOn w:val="1"/>
    <w:autoRedefine/>
    <w:qFormat/>
    <w:uiPriority w:val="34"/>
    <w:pPr>
      <w:ind w:firstLine="420" w:firstLineChars="200"/>
    </w:pPr>
    <w:rPr>
      <w:rFonts w:ascii="Calibri" w:hAnsi="Calibri"/>
      <w:szCs w:val="22"/>
    </w:rPr>
  </w:style>
  <w:style w:type="paragraph" w:customStyle="1" w:styleId="48">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0">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1">
    <w:name w:val="3"/>
    <w:basedOn w:val="1"/>
    <w:next w:val="1"/>
    <w:autoRedefine/>
    <w:unhideWhenUsed/>
    <w:qFormat/>
    <w:uiPriority w:val="39"/>
    <w:pPr>
      <w:ind w:left="420" w:leftChars="200"/>
    </w:pPr>
  </w:style>
  <w:style w:type="paragraph" w:customStyle="1" w:styleId="52">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53">
    <w:name w:val="未处理的提及1"/>
    <w:basedOn w:val="19"/>
    <w:autoRedefine/>
    <w:semiHidden/>
    <w:unhideWhenUsed/>
    <w:qFormat/>
    <w:uiPriority w:val="99"/>
    <w:rPr>
      <w:color w:val="605E5C"/>
      <w:shd w:val="clear" w:color="auto" w:fill="E1DFDD"/>
    </w:rPr>
  </w:style>
  <w:style w:type="character" w:customStyle="1" w:styleId="54">
    <w:name w:val="font21"/>
    <w:basedOn w:val="19"/>
    <w:autoRedefine/>
    <w:qFormat/>
    <w:uiPriority w:val="0"/>
    <w:rPr>
      <w:rFonts w:hint="eastAsia" w:ascii="宋体" w:hAnsi="宋体" w:eastAsia="宋体" w:cs="宋体"/>
      <w:color w:val="000000"/>
      <w:sz w:val="22"/>
      <w:szCs w:val="22"/>
      <w:u w:val="none"/>
    </w:rPr>
  </w:style>
  <w:style w:type="character" w:customStyle="1" w:styleId="55">
    <w:name w:val="font31"/>
    <w:basedOn w:val="19"/>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emf"/><Relationship Id="rId28" Type="http://schemas.openxmlformats.org/officeDocument/2006/relationships/oleObject" Target="embeddings/oleObject1.bin"/><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0723B-396C-4331-94AC-67EB3F72CE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3717</Words>
  <Characters>3935</Characters>
  <Lines>142</Lines>
  <Paragraphs>40</Paragraphs>
  <TotalTime>29</TotalTime>
  <ScaleCrop>false</ScaleCrop>
  <LinksUpToDate>false</LinksUpToDate>
  <CharactersWithSpaces>4061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2024-06-05T02:13:00Z</dcterms:created>
  <dc:creator>微软用户</dc:creator>
  <cp:lastModifiedBy>文韬灬武略</cp:lastModifiedBy>
  <cp:lastPrinted>2022-05-25T02:21:00Z</cp:lastPrinted>
  <dcterms:modified xsi:type="dcterms:W3CDTF">2025-04-03T05:02:10Z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CFA1E4E2DF8446A48A949E3C82E741C7</vt:lpwstr>
  </property>
  <property fmtid="{D5CDD505-2E9C-101B-9397-08002B2CF9AE}" pid="4" name="KSOTemplateDocerSaveRecord">
    <vt:lpwstr>eyJoZGlkIjoiM2JlNzg0OWRiMGJmMjZlOGRlNmQ1N2Y4OWExMzAyZDIiLCJ1c2VySWQiOiI2NzU0NjI1OTEifQ==</vt:lpwstr>
  </property>
</Properties>
</file>