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济南商用车</w:t>
      </w:r>
    </w:p>
    <w:p>
      <w:pPr>
        <w:spacing w:line="276" w:lineRule="auto"/>
        <w:jc w:val="center"/>
        <w:rPr>
          <w:rFonts w:hint="eastAsia" w:ascii="Calibri" w:hAnsi="Calibri" w:eastAsia="宋体" w:cs="Times New Roman"/>
          <w:color w:val="000000"/>
          <w:sz w:val="28"/>
          <w:szCs w:val="28"/>
          <w:lang w:val="en-US" w:eastAsia="zh-CN"/>
        </w:rPr>
      </w:pPr>
      <w:r>
        <w:rPr>
          <w:rFonts w:hint="eastAsia" w:ascii="Calibri" w:hAnsi="宋体" w:eastAsia="宋体" w:cs="Times New Roman"/>
          <w:b/>
          <w:bCs/>
          <w:color w:val="000000"/>
          <w:spacing w:val="-8"/>
          <w:sz w:val="48"/>
          <w:szCs w:val="44"/>
          <w:lang w:val="en-US" w:eastAsia="zh-CN"/>
        </w:rPr>
        <w:t>前风挡玻璃涂胶工作站改造项目</w:t>
      </w:r>
      <w:r>
        <w:rPr>
          <w:rFonts w:hint="eastAsia" w:ascii="Calibri" w:hAnsi="Calibri" w:eastAsia="宋体" w:cs="Times New Roman"/>
          <w:color w:val="000000"/>
          <w:sz w:val="28"/>
          <w:szCs w:val="28"/>
          <w:lang w:val="en-US" w:eastAsia="zh-CN"/>
        </w:rPr>
        <w:t xml:space="preserve">                                     </w:t>
      </w:r>
    </w:p>
    <w:p>
      <w:pPr>
        <w:pStyle w:val="18"/>
        <w:rPr>
          <w:rFonts w:hint="eastAsia"/>
          <w:lang w:eastAsia="zh-CN"/>
        </w:rPr>
      </w:pPr>
    </w:p>
    <w:p>
      <w:pPr>
        <w:pStyle w:val="18"/>
        <w:rPr>
          <w:rFonts w:hint="eastAsia"/>
          <w:lang w:eastAsia="zh-CN"/>
        </w:rPr>
      </w:pPr>
    </w:p>
    <w:p>
      <w:pPr>
        <w:pStyle w:val="18"/>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5"/>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5"/>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5"/>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8"/>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8"/>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8"/>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0"/>
                <w:rFonts w:ascii="宋体" w:hAnsi="宋体" w:eastAsia="宋体" w:cs="宋体"/>
                <w:b/>
                <w:sz w:val="28"/>
                <w:szCs w:val="28"/>
              </w:rPr>
            </w:pPr>
            <w:bookmarkStart w:id="3" w:name="_Toc346372875"/>
            <w:r>
              <w:rPr>
                <w:rStyle w:val="130"/>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0"/>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济南商用车前风挡玻璃涂胶工作站改造项目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CGZX2025020222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u w:val="single"/>
                <w:lang w:val="en-US" w:eastAsia="zh-CN"/>
              </w:rPr>
              <w:t>5台内隔板专用机器人焊接工作站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lang w:val="en-US" w:eastAsia="zh-CN"/>
              </w:rPr>
              <w:t>招标</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rPr>
              <w:t>李月兵</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17860602093</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"mailto:kongmingwei@sinotruk.com" </w:instrText>
            </w:r>
            <w:r>
              <w:rPr>
                <w:rFonts w:hint="eastAsia"/>
              </w:rPr>
              <w:fldChar w:fldCharType="separate"/>
            </w:r>
            <w:r>
              <w:rPr>
                <w:rStyle w:val="45"/>
                <w:rFonts w:hint="eastAsia" w:ascii="宋体" w:hAnsi="宋体" w:eastAsia="宋体" w:cs="宋体"/>
                <w:bCs/>
                <w:snapToGrid w:val="0"/>
                <w:color w:val="auto"/>
                <w:kern w:val="0"/>
                <w:sz w:val="24"/>
                <w:szCs w:val="24"/>
              </w:rPr>
              <w:t>liyuebing@sinotruk.com</w:t>
            </w:r>
            <w:r>
              <w:rPr>
                <w:rStyle w:val="45"/>
                <w:rFonts w:hint="eastAsia" w:ascii="宋体" w:hAnsi="宋体" w:eastAsia="宋体" w:cs="宋体"/>
                <w:bCs/>
                <w:snapToGrid w:val="0"/>
                <w:color w:val="auto"/>
                <w:kern w:val="0"/>
                <w:sz w:val="24"/>
                <w:szCs w:val="24"/>
              </w:rPr>
              <w:fldChar w:fldCharType="end"/>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8"/>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270</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none"/>
                <w:u w:val="single"/>
                <w:lang w:val="en-US" w:eastAsia="zh-CN"/>
              </w:rPr>
              <w:t>240</w:t>
            </w:r>
            <w:r>
              <w:rPr>
                <w:rFonts w:hint="eastAsia" w:ascii="宋体" w:hAnsi="宋体" w:eastAsia="宋体" w:cs="宋体"/>
                <w:b/>
                <w:color w:val="000000"/>
                <w:sz w:val="24"/>
                <w:szCs w:val="24"/>
                <w:highlight w:val="none"/>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w:t>
            </w:r>
            <w:r>
              <w:rPr>
                <w:rFonts w:hint="eastAsia" w:hAnsi="宋体" w:eastAsia="宋体" w:cs="宋体"/>
                <w:color w:val="000000"/>
                <w:sz w:val="24"/>
                <w:szCs w:val="24"/>
                <w:lang w:eastAsia="zh-CN"/>
              </w:rPr>
              <w:t>（</w:t>
            </w:r>
            <w:r>
              <w:rPr>
                <w:rFonts w:hint="eastAsia" w:hAnsi="宋体" w:eastAsia="宋体" w:cs="宋体"/>
                <w:color w:val="000000"/>
                <w:sz w:val="24"/>
                <w:szCs w:val="24"/>
              </w:rPr>
              <w:t>包括但不限于资产负债表、利润表、现金流量表），且未显示异常；</w:t>
            </w:r>
          </w:p>
          <w:p>
            <w:pPr>
              <w:pStyle w:val="18"/>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8"/>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highlight w:val="none"/>
                <w:lang w:val="en-US" w:eastAsia="zh-CN"/>
              </w:rPr>
              <w:t>）未显示异常；</w:t>
            </w:r>
          </w:p>
          <w:p>
            <w:pPr>
              <w:pStyle w:val="18"/>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8"/>
              <w:ind w:firstLine="480" w:firstLineChars="200"/>
              <w:rPr>
                <w:rFonts w:hint="default" w:ascii="宋体" w:hAnsi="宋体" w:eastAsia="宋体" w:cs="宋体"/>
                <w:color w:val="000000"/>
                <w:kern w:val="2"/>
                <w:sz w:val="24"/>
                <w:szCs w:val="24"/>
                <w:highlight w:val="none"/>
                <w:lang w:val="en-US" w:eastAsia="zh-CN" w:bidi="ar-SA"/>
              </w:rPr>
            </w:pPr>
            <w:r>
              <w:rPr>
                <w:rFonts w:hint="eastAsia" w:hAnsi="宋体" w:eastAsia="宋体" w:cs="宋体"/>
                <w:color w:val="000000"/>
                <w:kern w:val="2"/>
                <w:sz w:val="24"/>
                <w:szCs w:val="24"/>
                <w:highlight w:val="none"/>
                <w:lang w:val="en-US" w:eastAsia="zh-CN" w:bidi="ar-SA"/>
              </w:rPr>
              <w:t>13.投标单位需为设备制造单位；</w:t>
            </w:r>
          </w:p>
          <w:p>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15.无招标违规、谎报年度报告信息、提供虚假资质资料等行为或其他行政处罚记录。</w:t>
            </w:r>
          </w:p>
          <w:p>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pPr>
              <w:pStyle w:val="18"/>
              <w:ind w:firstLine="482" w:firstLineChars="200"/>
              <w:rPr>
                <w:rFonts w:hint="eastAsia" w:hAnsi="宋体" w:eastAsia="宋体" w:cs="宋体"/>
                <w:color w:val="000000"/>
                <w:sz w:val="24"/>
                <w:szCs w:val="24"/>
                <w:highlight w:val="none"/>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11</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3"/>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3"/>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w:t>
            </w:r>
            <w:r>
              <w:rPr>
                <w:rFonts w:hint="eastAsia" w:eastAsia="宋体" w:cs="宋体"/>
                <w:highlight w:val="yellow"/>
              </w:rPr>
              <w:t>年</w:t>
            </w:r>
            <w:r>
              <w:rPr>
                <w:rFonts w:hint="eastAsia" w:eastAsia="宋体" w:cs="宋体"/>
                <w:highlight w:val="yellow"/>
                <w:lang w:val="en-US" w:eastAsia="zh-CN"/>
              </w:rPr>
              <w:t>4</w:t>
            </w:r>
            <w:r>
              <w:rPr>
                <w:rFonts w:hint="eastAsia" w:eastAsia="宋体" w:cs="宋体"/>
                <w:highlight w:val="yellow"/>
              </w:rPr>
              <w:t>月</w:t>
            </w:r>
            <w:r>
              <w:rPr>
                <w:rFonts w:hint="eastAsia" w:eastAsia="宋体" w:cs="宋体"/>
                <w:highlight w:val="yellow"/>
                <w:lang w:val="en-US" w:eastAsia="zh-CN"/>
              </w:rPr>
              <w:t>14</w:t>
            </w:r>
            <w:r>
              <w:rPr>
                <w:rFonts w:hint="eastAsia" w:eastAsia="宋体" w:cs="宋体"/>
                <w:highlight w:val="yellow"/>
              </w:rPr>
              <w:t>日</w:t>
            </w:r>
            <w:r>
              <w:rPr>
                <w:rFonts w:hint="eastAsia" w:eastAsia="宋体" w:cs="宋体"/>
                <w:highlight w:val="yellow"/>
                <w:lang w:val="en-US" w:eastAsia="zh-CN"/>
              </w:rPr>
              <w:t>12时00分00秒</w:t>
            </w:r>
          </w:p>
          <w:p>
            <w:pPr>
              <w:pStyle w:val="113"/>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8"/>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8"/>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8"/>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rPr>
              <w:t>李月兵</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rPr>
              <w:t>17860602093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8"/>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17</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8"/>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14</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17</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bookmarkStart w:id="4" w:name="OLE_LINK2"/>
            <w:r>
              <w:rPr>
                <w:rFonts w:hint="eastAsia" w:ascii="宋体" w:hAnsi="宋体" w:eastAsia="宋体" w:cs="宋体"/>
                <w:b/>
                <w:bCs/>
                <w:sz w:val="24"/>
                <w:szCs w:val="24"/>
                <w:highlight w:val="yellow"/>
                <w:lang w:val="en-US" w:eastAsia="zh-CN"/>
              </w:rPr>
              <w:t>技术标入围后，原则上选取</w:t>
            </w:r>
            <w:r>
              <w:rPr>
                <w:rFonts w:hint="eastAsia" w:ascii="宋体" w:hAnsi="宋体" w:eastAsia="宋体" w:cs="宋体"/>
                <w:b/>
                <w:bCs/>
                <w:color w:val="auto"/>
                <w:sz w:val="24"/>
                <w:szCs w:val="24"/>
                <w:highlight w:val="yellow"/>
                <w:lang w:val="en-US" w:eastAsia="zh-CN"/>
              </w:rPr>
              <w:t>综合评分最高者</w:t>
            </w:r>
            <w:r>
              <w:rPr>
                <w:rFonts w:hint="eastAsia" w:ascii="宋体" w:hAnsi="宋体" w:eastAsia="宋体" w:cs="宋体"/>
                <w:b/>
                <w:color w:val="auto"/>
                <w:sz w:val="24"/>
                <w:szCs w:val="24"/>
                <w:highlight w:val="yellow"/>
                <w:lang w:val="en-US" w:eastAsia="zh-CN"/>
              </w:rPr>
              <w:t>中标</w:t>
            </w:r>
            <w:r>
              <w:rPr>
                <w:rFonts w:hint="eastAsia" w:ascii="宋体" w:hAnsi="宋体" w:eastAsia="宋体" w:cs="宋体"/>
                <w:sz w:val="24"/>
                <w:szCs w:val="24"/>
                <w:highlight w:val="yellow"/>
              </w:rPr>
              <w:t>。</w:t>
            </w:r>
            <w:bookmarkEnd w:id="4"/>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定标后</w:t>
            </w:r>
            <w:r>
              <w:rPr>
                <w:rFonts w:hint="eastAsia" w:hAnsi="宋体" w:eastAsia="宋体" w:cs="宋体"/>
                <w:color w:val="000000"/>
                <w:sz w:val="24"/>
                <w:szCs w:val="24"/>
              </w:rPr>
              <w:t>，</w:t>
            </w:r>
            <w:r>
              <w:rPr>
                <w:rFonts w:hint="eastAsia" w:hAnsi="宋体" w:eastAsia="宋体" w:cs="宋体"/>
                <w:color w:val="000000"/>
                <w:sz w:val="24"/>
                <w:szCs w:val="24"/>
                <w:lang w:val="en-US" w:eastAsia="zh-CN"/>
              </w:rPr>
              <w:t>2个月</w:t>
            </w:r>
            <w:r>
              <w:rPr>
                <w:rFonts w:hint="eastAsia" w:hAnsi="宋体" w:eastAsia="宋体" w:cs="宋体"/>
                <w:color w:val="000000"/>
                <w:sz w:val="24"/>
                <w:szCs w:val="24"/>
              </w:rPr>
              <w:t>之内交货至供货地点</w:t>
            </w:r>
            <w:r>
              <w:rPr>
                <w:rFonts w:hAnsi="宋体" w:eastAsia="宋体" w:cs="宋体"/>
                <w:color w:val="000000"/>
                <w:sz w:val="24"/>
                <w:szCs w:val="24"/>
              </w:rPr>
              <w:t>。</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1个月</w:t>
            </w:r>
            <w:r>
              <w:rPr>
                <w:rFonts w:hint="eastAsia" w:hAnsi="宋体" w:eastAsia="宋体" w:cs="宋体"/>
                <w:color w:val="000000"/>
                <w:sz w:val="24"/>
                <w:szCs w:val="24"/>
              </w:rPr>
              <w:t>之内安装调试完毕。</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3.接续</w:t>
            </w:r>
            <w:r>
              <w:rPr>
                <w:rFonts w:hint="eastAsia" w:hAnsi="宋体" w:eastAsia="宋体" w:cs="宋体"/>
                <w:color w:val="000000"/>
                <w:sz w:val="24"/>
                <w:szCs w:val="24"/>
                <w:lang w:val="en-US" w:eastAsia="zh-CN"/>
              </w:rPr>
              <w:t>6</w:t>
            </w:r>
            <w:r>
              <w:rPr>
                <w:rFonts w:hint="eastAsia" w:hAnsi="宋体" w:eastAsia="宋体" w:cs="宋体"/>
                <w:color w:val="000000"/>
                <w:sz w:val="24"/>
                <w:szCs w:val="24"/>
              </w:rPr>
              <w:t>0个日历日之内完成终验收。</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spacing w:line="360" w:lineRule="auto"/>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sz w:val="24"/>
                <w:szCs w:val="24"/>
                <w:u w:val="single"/>
                <w:lang w:bidi="ar"/>
              </w:rPr>
              <w:t>济南商用车</w:t>
            </w:r>
            <w:r>
              <w:rPr>
                <w:rFonts w:hint="eastAsia" w:ascii="宋体" w:hAnsi="宋体" w:eastAsia="宋体" w:cs="宋体"/>
                <w:sz w:val="24"/>
                <w:szCs w:val="24"/>
                <w:u w:val="single"/>
                <w:lang w:val="en-US" w:eastAsia="zh-CN" w:bidi="ar"/>
              </w:rPr>
              <w:t>制造</w:t>
            </w:r>
            <w:r>
              <w:rPr>
                <w:rFonts w:hint="eastAsia" w:ascii="宋体" w:hAnsi="宋体" w:eastAsia="宋体" w:cs="宋体"/>
                <w:sz w:val="24"/>
                <w:szCs w:val="24"/>
                <w:u w:val="single"/>
                <w:lang w:bidi="ar"/>
              </w:rPr>
              <w:t>公司（章丘重汽工业园）</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6"/>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pPr>
              <w:pStyle w:val="36"/>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合同生效设备全部到齐无质量问题通过买方初步验收并到货后，卖方开具金额为该合同设备价格</w:t>
            </w:r>
            <w:r>
              <w:rPr>
                <w:rFonts w:hint="eastAsia" w:ascii="宋体" w:hAnsi="宋体" w:cs="宋体"/>
                <w:sz w:val="24"/>
                <w:szCs w:val="24"/>
                <w:lang w:val="en-US" w:eastAsia="zh-CN"/>
              </w:rPr>
              <w:t>3</w:t>
            </w:r>
            <w:r>
              <w:rPr>
                <w:rFonts w:hint="eastAsia" w:ascii="宋体" w:hAnsi="宋体" w:cs="宋体"/>
                <w:sz w:val="24"/>
                <w:szCs w:val="24"/>
              </w:rPr>
              <w:t>0%的增值税专用发票带</w:t>
            </w:r>
            <w:r>
              <w:rPr>
                <w:rFonts w:hint="eastAsia" w:ascii="宋体" w:hAnsi="宋体" w:cs="宋体"/>
                <w:sz w:val="24"/>
                <w:szCs w:val="24"/>
                <w:lang w:val="en-US" w:eastAsia="zh-CN"/>
              </w:rPr>
              <w:t>3</w:t>
            </w:r>
            <w:r>
              <w:rPr>
                <w:rFonts w:hint="eastAsia" w:ascii="宋体" w:hAnsi="宋体" w:cs="宋体"/>
                <w:sz w:val="24"/>
                <w:szCs w:val="24"/>
              </w:rPr>
              <w:t>0%的收据（含复印件二份），经买方依照财务制度审核无误后支付合同价款的</w:t>
            </w:r>
            <w:r>
              <w:rPr>
                <w:rFonts w:hint="eastAsia" w:ascii="宋体" w:hAnsi="宋体" w:cs="宋体"/>
                <w:sz w:val="24"/>
                <w:szCs w:val="24"/>
                <w:lang w:val="en-US" w:eastAsia="zh-CN"/>
              </w:rPr>
              <w:t>3</w:t>
            </w:r>
            <w:r>
              <w:rPr>
                <w:rFonts w:hint="eastAsia" w:ascii="宋体" w:hAnsi="宋体" w:cs="宋体"/>
                <w:sz w:val="24"/>
                <w:szCs w:val="24"/>
              </w:rPr>
              <w:t>0%。</w:t>
            </w:r>
          </w:p>
          <w:p>
            <w:pPr>
              <w:pStyle w:val="36"/>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w:t>
            </w:r>
            <w:r>
              <w:rPr>
                <w:rFonts w:hint="eastAsia" w:ascii="宋体" w:hAnsi="宋体" w:cs="宋体"/>
                <w:sz w:val="24"/>
                <w:szCs w:val="24"/>
                <w:lang w:val="en-US" w:eastAsia="zh-CN"/>
              </w:rPr>
              <w:t>6</w:t>
            </w:r>
            <w:r>
              <w:rPr>
                <w:rFonts w:hint="eastAsia" w:ascii="宋体" w:hAnsi="宋体" w:cs="宋体"/>
                <w:sz w:val="24"/>
                <w:szCs w:val="24"/>
              </w:rPr>
              <w:t>0%的收据并附带下列单据，经买方依照财务制度审核无误后支付合同价款的</w:t>
            </w:r>
            <w:r>
              <w:rPr>
                <w:rFonts w:hint="eastAsia" w:ascii="宋体" w:hAnsi="宋体" w:cs="宋体"/>
                <w:sz w:val="24"/>
                <w:szCs w:val="24"/>
                <w:lang w:val="en-US" w:eastAsia="zh-CN"/>
              </w:rPr>
              <w:t>6</w:t>
            </w:r>
            <w:r>
              <w:rPr>
                <w:rFonts w:hint="eastAsia" w:ascii="宋体" w:hAnsi="宋体" w:cs="宋体"/>
                <w:sz w:val="24"/>
                <w:szCs w:val="24"/>
              </w:rPr>
              <w:t>0%。</w:t>
            </w:r>
          </w:p>
          <w:p>
            <w:pPr>
              <w:pStyle w:val="36"/>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w:t>
            </w:r>
            <w:r>
              <w:rPr>
                <w:rFonts w:hint="eastAsia" w:ascii="宋体" w:hAnsi="宋体" w:cs="宋体"/>
                <w:sz w:val="24"/>
                <w:szCs w:val="24"/>
              </w:rPr>
              <w:t>0%的增值税专用发票（含复印件二份），具体开票信息详见发票信息表，根据表中所列分别开具增值税发票。</w:t>
            </w:r>
          </w:p>
          <w:p>
            <w:pPr>
              <w:pStyle w:val="36"/>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pPr>
              <w:pStyle w:val="36"/>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pPr>
              <w:ind w:firstLine="480" w:firstLineChars="200"/>
              <w:rPr>
                <w:rFonts w:hint="default" w:ascii="宋体" w:hAnsi="宋体" w:cs="宋体" w:eastAsiaTheme="minorEastAsia"/>
                <w:bCs/>
                <w:sz w:val="24"/>
                <w:szCs w:val="24"/>
                <w:lang w:val="en-US" w:eastAsia="zh-CN"/>
              </w:rPr>
            </w:pPr>
            <w:r>
              <w:rPr>
                <w:rFonts w:hint="eastAsia" w:ascii="宋体" w:hAnsi="宋体" w:eastAsia="宋体" w:cs="宋体"/>
                <w:color w:val="000000"/>
                <w:sz w:val="24"/>
                <w:szCs w:val="24"/>
                <w:highlight w:val="cyan"/>
                <w:lang w:val="en-US" w:eastAsia="zh-CN"/>
              </w:rPr>
              <w:t>见合同签订信息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3"/>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8"/>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8"/>
        <w:jc w:val="center"/>
        <w:outlineLvl w:val="0"/>
        <w:rPr>
          <w:rFonts w:ascii="Calibri" w:hAnsi="Calibri" w:eastAsia="宋体" w:cs="Times New Roman"/>
          <w:b/>
          <w:bCs/>
          <w:kern w:val="44"/>
          <w:sz w:val="36"/>
          <w:szCs w:val="44"/>
        </w:rPr>
      </w:pPr>
      <w:bookmarkStart w:id="5"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5"/>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highlight w:val="none"/>
        </w:rPr>
        <w:t>见《投标须知前附表》。</w:t>
      </w:r>
    </w:p>
    <w:bookmarkEnd w:id="6"/>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8"/>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8"/>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8"/>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3"/>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3"/>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7" w:name="_Toc33266950"/>
      <w:bookmarkStart w:id="8" w:name="_Toc33285487"/>
      <w:bookmarkStart w:id="9" w:name="_Toc33267001"/>
      <w:bookmarkStart w:id="10" w:name="_Toc33266627"/>
      <w:bookmarkStart w:id="11" w:name="_Toc33266914"/>
      <w:bookmarkStart w:id="12" w:name="_Toc33265752"/>
      <w:bookmarkStart w:id="13" w:name="_Toc33265653"/>
      <w:r>
        <w:rPr>
          <w:rFonts w:hint="eastAsia" w:ascii="宋体" w:hAnsi="宋体" w:eastAsia="宋体" w:cs="宋体"/>
          <w:b/>
          <w:bCs w:val="0"/>
          <w:sz w:val="24"/>
          <w:szCs w:val="24"/>
        </w:rPr>
        <w:t>六、评价原则</w:t>
      </w:r>
      <w:bookmarkEnd w:id="7"/>
      <w:bookmarkEnd w:id="8"/>
      <w:bookmarkEnd w:id="9"/>
      <w:bookmarkEnd w:id="10"/>
      <w:bookmarkEnd w:id="11"/>
      <w:bookmarkEnd w:id="12"/>
      <w:bookmarkEnd w:id="13"/>
      <w:bookmarkStart w:id="14" w:name="_Toc395116633"/>
    </w:p>
    <w:bookmarkEnd w:id="14"/>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2" w:firstLineChars="200"/>
        <w:rPr>
          <w:rFonts w:hint="eastAsia" w:ascii="宋体" w:hAnsi="宋体" w:eastAsia="宋体" w:cs="宋体"/>
          <w:b/>
          <w:color w:val="000000"/>
          <w:sz w:val="24"/>
          <w:szCs w:val="24"/>
          <w:highlight w:val="magenta"/>
        </w:rPr>
      </w:pPr>
      <w:r>
        <w:rPr>
          <w:rFonts w:hint="eastAsia" w:ascii="宋体" w:hAnsi="宋体" w:eastAsia="宋体" w:cs="宋体"/>
          <w:b/>
          <w:color w:val="000000"/>
          <w:sz w:val="24"/>
          <w:szCs w:val="24"/>
          <w:highlight w:val="magenta"/>
        </w:rPr>
        <w:t>本次招标采用</w:t>
      </w:r>
      <w:bookmarkStart w:id="15" w:name="_Toc33267002"/>
      <w:bookmarkStart w:id="16" w:name="_Toc33285489"/>
      <w:bookmarkStart w:id="17" w:name="_Toc33266915"/>
      <w:bookmarkStart w:id="18" w:name="_Toc33266628"/>
      <w:bookmarkStart w:id="19" w:name="_Toc395116634"/>
      <w:bookmarkStart w:id="20" w:name="_Toc33265753"/>
      <w:bookmarkStart w:id="21" w:name="_Toc33266951"/>
      <w:bookmarkStart w:id="22" w:name="_Toc33265654"/>
      <w:r>
        <w:rPr>
          <w:rFonts w:hint="eastAsia" w:ascii="宋体" w:hAnsi="宋体" w:eastAsia="宋体" w:cs="宋体"/>
          <w:b/>
          <w:color w:val="000000"/>
          <w:sz w:val="24"/>
          <w:szCs w:val="24"/>
          <w:highlight w:val="magenta"/>
          <w:lang w:val="en-US" w:eastAsia="zh-CN"/>
        </w:rPr>
        <w:t>综合评价法（详见附件14）。</w:t>
      </w:r>
      <w:r>
        <w:rPr>
          <w:rFonts w:hint="eastAsia" w:ascii="宋体" w:hAnsi="宋体" w:eastAsia="宋体" w:cs="宋体"/>
          <w:b/>
          <w:color w:val="000000"/>
          <w:sz w:val="24"/>
          <w:szCs w:val="24"/>
          <w:highlight w:val="magenta"/>
        </w:rPr>
        <w:t>本着公平、公正、公开的原则，在</w:t>
      </w:r>
      <w:r>
        <w:rPr>
          <w:rFonts w:hint="eastAsia" w:ascii="宋体" w:hAnsi="宋体" w:eastAsia="宋体" w:cs="宋体"/>
          <w:b/>
          <w:color w:val="000000"/>
          <w:sz w:val="24"/>
          <w:szCs w:val="24"/>
          <w:highlight w:val="magenta"/>
          <w:lang w:val="en-US" w:eastAsia="zh-CN"/>
        </w:rPr>
        <w:t>通过技术标</w:t>
      </w:r>
      <w:r>
        <w:rPr>
          <w:rFonts w:hint="eastAsia" w:ascii="宋体" w:hAnsi="宋体" w:eastAsia="宋体" w:cs="宋体"/>
          <w:b/>
          <w:color w:val="000000"/>
          <w:sz w:val="24"/>
          <w:szCs w:val="24"/>
          <w:highlight w:val="magenta"/>
        </w:rPr>
        <w:t>评审</w:t>
      </w:r>
      <w:r>
        <w:rPr>
          <w:rFonts w:hint="eastAsia" w:ascii="宋体" w:hAnsi="宋体" w:eastAsia="宋体" w:cs="宋体"/>
          <w:b/>
          <w:color w:val="000000"/>
          <w:sz w:val="24"/>
          <w:szCs w:val="24"/>
          <w:highlight w:val="magenta"/>
          <w:lang w:val="en-US" w:eastAsia="zh-CN"/>
        </w:rPr>
        <w:t>后入围</w:t>
      </w:r>
      <w:r>
        <w:rPr>
          <w:rFonts w:hint="eastAsia" w:ascii="宋体" w:hAnsi="宋体" w:eastAsia="宋体" w:cs="宋体"/>
          <w:b/>
          <w:color w:val="000000"/>
          <w:sz w:val="24"/>
          <w:szCs w:val="24"/>
          <w:highlight w:val="magenta"/>
        </w:rPr>
        <w:t>的前提下，对招标文件中规定的各项因素进行综合评审，确定中标人，对未中标单位不做任何解释。</w:t>
      </w:r>
    </w:p>
    <w:bookmarkEnd w:id="15"/>
    <w:bookmarkEnd w:id="16"/>
    <w:bookmarkEnd w:id="17"/>
    <w:bookmarkEnd w:id="18"/>
    <w:bookmarkEnd w:id="19"/>
    <w:bookmarkEnd w:id="20"/>
    <w:bookmarkEnd w:id="21"/>
    <w:bookmarkEnd w:id="22"/>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8"/>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highlight w:val="magenta"/>
        </w:rPr>
      </w:pPr>
      <w:r>
        <w:rPr>
          <w:rFonts w:hint="eastAsia" w:ascii="宋体" w:hAnsi="宋体" w:eastAsia="宋体" w:cs="宋体"/>
          <w:b/>
          <w:color w:val="auto"/>
          <w:sz w:val="24"/>
          <w:szCs w:val="24"/>
          <w:highlight w:val="magenta"/>
          <w:lang w:val="en-US" w:eastAsia="zh-CN"/>
        </w:rPr>
        <w:t>中标人确定：技术标入围后，原则上综合评分最高的投标方中标。</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7"/>
      <w:bookmarkStart w:id="24" w:name="OLE_LINK25"/>
      <w:bookmarkStart w:id="25" w:name="OLE_LINK29"/>
      <w:bookmarkStart w:id="26" w:name="OLE_LINK26"/>
      <w:bookmarkStart w:id="27" w:name="OLE_LINK28"/>
      <w:r>
        <w:rPr>
          <w:rFonts w:hint="eastAsia" w:ascii="宋体" w:hAnsi="宋体" w:eastAsia="宋体" w:cs="宋体"/>
          <w:bCs/>
          <w:sz w:val="24"/>
          <w:szCs w:val="24"/>
        </w:rPr>
        <w:t>；</w:t>
      </w:r>
      <w:bookmarkEnd w:id="23"/>
      <w:bookmarkEnd w:id="24"/>
      <w:bookmarkEnd w:id="25"/>
      <w:bookmarkEnd w:id="26"/>
      <w:bookmarkEnd w:id="27"/>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8"/>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pPr>
        <w:pStyle w:val="18"/>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pPr>
        <w:pStyle w:val="18"/>
        <w:numPr>
          <w:ilvl w:val="-1"/>
          <w:numId w:val="0"/>
        </w:numPr>
        <w:jc w:val="center"/>
        <w:outlineLvl w:val="0"/>
        <w:rPr>
          <w:rFonts w:ascii="Calibri" w:hAnsi="Calibri" w:eastAsia="宋体" w:cs="Times New Roman"/>
          <w:b/>
          <w:bCs/>
          <w:kern w:val="44"/>
          <w:sz w:val="36"/>
          <w:szCs w:val="44"/>
        </w:rPr>
      </w:pPr>
      <w:bookmarkStart w:id="28"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8"/>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9"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9"/>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30"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30"/>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8"/>
      <w:bookmarkStart w:id="32" w:name="OLE_LINK19"/>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pPr>
        <w:pStyle w:val="18"/>
      </w:pPr>
    </w:p>
    <w:p>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济南商用车</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前风挡玻璃涂胶工作站改造项目</w:t>
      </w:r>
    </w:p>
    <w:p>
      <w:pPr>
        <w:jc w:val="right"/>
        <w:rPr>
          <w:rFonts w:ascii="Calibri" w:hAnsi="Calibri" w:eastAsia="宋体" w:cs="Times New Roman"/>
          <w:color w:val="000000"/>
          <w:sz w:val="28"/>
          <w:szCs w:val="28"/>
        </w:rPr>
      </w:pPr>
    </w:p>
    <w:p>
      <w:pPr>
        <w:pStyle w:val="18"/>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8"/>
      </w:pPr>
    </w:p>
    <w:p>
      <w:pPr>
        <w:pStyle w:val="18"/>
        <w:rPr>
          <w:rFonts w:ascii="黑体" w:hAnsi="宋体" w:eastAsia="黑体" w:cs="Times New Roman"/>
          <w:color w:val="000000"/>
          <w:sz w:val="72"/>
          <w:szCs w:val="72"/>
        </w:rPr>
      </w:pPr>
    </w:p>
    <w:p>
      <w:pPr>
        <w:pStyle w:val="18"/>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8"/>
        <w:rPr>
          <w:b/>
          <w:bCs/>
        </w:rPr>
      </w:pPr>
    </w:p>
    <w:p>
      <w:pPr>
        <w:jc w:val="center"/>
        <w:rPr>
          <w:rFonts w:hint="eastAsia"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auto"/>
          <w:sz w:val="28"/>
          <w:szCs w:val="28"/>
        </w:rPr>
        <w:t>中国重汽集团济南</w:t>
      </w:r>
      <w:r>
        <w:rPr>
          <w:rFonts w:hint="eastAsia" w:ascii="宋体" w:hAnsi="宋体" w:eastAsia="宋体" w:cs="Times New Roman"/>
          <w:color w:val="auto"/>
          <w:sz w:val="28"/>
          <w:szCs w:val="28"/>
          <w:lang w:val="en-US" w:eastAsia="zh-CN"/>
        </w:rPr>
        <w:t>动力</w:t>
      </w:r>
      <w:r>
        <w:rPr>
          <w:rFonts w:hint="eastAsia" w:ascii="宋体" w:hAnsi="宋体" w:eastAsia="宋体" w:cs="Times New Roman"/>
          <w:color w:val="auto"/>
          <w:sz w:val="28"/>
          <w:szCs w:val="28"/>
        </w:rPr>
        <w:t>有限公司</w:t>
      </w:r>
    </w:p>
    <w:p>
      <w:pPr>
        <w:pStyle w:val="13"/>
      </w:pPr>
    </w:p>
    <w:p>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pPr>
    </w:p>
    <w:p>
      <w:pPr>
        <w:pStyle w:val="13"/>
        <w:sectPr>
          <w:headerReference r:id="rId12" w:type="default"/>
          <w:footerReference r:id="rId13" w:type="default"/>
          <w:pgSz w:w="11907" w:h="16840"/>
          <w:pgMar w:top="1304" w:right="1418" w:bottom="1304" w:left="1418" w:header="724" w:footer="851" w:gutter="0"/>
          <w:pgNumType w:fmt="decimal" w:start="1"/>
          <w:cols w:space="720" w:num="1"/>
          <w:docGrid w:linePitch="290" w:charSpace="-3931"/>
        </w:sectPr>
      </w:pPr>
    </w:p>
    <w:p>
      <w:pPr>
        <w:pStyle w:val="4"/>
        <w:widowControl/>
        <w:spacing w:before="120" w:after="120"/>
        <w:jc w:val="center"/>
        <w:rPr>
          <w:rFonts w:hint="eastAsia" w:ascii="宋体" w:hAnsi="宋体" w:eastAsia="宋体" w:cs="宋体"/>
          <w:b/>
          <w:bCs w:val="0"/>
          <w:szCs w:val="24"/>
        </w:rPr>
      </w:pPr>
      <w:r>
        <w:rPr>
          <w:rFonts w:hint="eastAsia" w:ascii="宋体" w:hAnsi="宋体" w:eastAsia="宋体" w:cs="宋体"/>
          <w:b/>
          <w:bCs w:val="0"/>
          <w:szCs w:val="24"/>
        </w:rPr>
        <w:t>第一章  采购货物概况</w:t>
      </w:r>
    </w:p>
    <w:p>
      <w:pPr>
        <w:pStyle w:val="5"/>
        <w:widowControl/>
        <w:spacing w:before="120" w:after="120" w:line="360" w:lineRule="auto"/>
        <w:jc w:val="center"/>
        <w:rPr>
          <w:rFonts w:hint="eastAsia" w:ascii="宋体" w:hAnsi="宋体" w:eastAsia="宋体" w:cs="宋体"/>
          <w:b/>
          <w:bCs w:val="0"/>
          <w:sz w:val="24"/>
          <w:szCs w:val="24"/>
        </w:rPr>
      </w:pPr>
      <w:bookmarkStart w:id="33" w:name="_Toc326840032"/>
      <w:r>
        <w:rPr>
          <w:rFonts w:hint="eastAsia" w:ascii="宋体" w:hAnsi="宋体" w:eastAsia="宋体" w:cs="宋体"/>
          <w:b/>
          <w:bCs w:val="0"/>
          <w:sz w:val="24"/>
          <w:szCs w:val="24"/>
        </w:rPr>
        <w:t>第一节  使用环境</w:t>
      </w:r>
      <w:bookmarkEnd w:id="33"/>
    </w:p>
    <w:p>
      <w:pPr>
        <w:spacing w:line="360" w:lineRule="auto"/>
        <w:rPr>
          <w:rFonts w:hint="eastAsia" w:ascii="宋体" w:hAnsi="宋体" w:eastAsia="宋体" w:cs="宋体"/>
          <w:u w:val="single"/>
          <w:lang w:eastAsia="zh-CN"/>
        </w:rPr>
      </w:pPr>
      <w:r>
        <w:rPr>
          <w:rFonts w:hint="eastAsia" w:ascii="宋体" w:hAnsi="宋体" w:eastAsia="宋体" w:cs="宋体"/>
          <w:sz w:val="24"/>
          <w:szCs w:val="24"/>
          <w:lang w:bidi="ar"/>
        </w:rPr>
        <w:t xml:space="preserve">    一、项目名称：</w:t>
      </w:r>
      <w:r>
        <w:rPr>
          <w:rFonts w:hint="eastAsia" w:ascii="宋体" w:hAnsi="宋体" w:eastAsia="宋体" w:cs="宋体"/>
          <w:sz w:val="24"/>
          <w:szCs w:val="24"/>
          <w:u w:val="single"/>
          <w:lang w:eastAsia="zh-CN" w:bidi="ar"/>
        </w:rPr>
        <w:t>中国重汽集团济南商用车有限公司前风挡玻璃涂胶工作站改造项目</w:t>
      </w:r>
    </w:p>
    <w:p>
      <w:pPr>
        <w:spacing w:line="360" w:lineRule="auto"/>
        <w:ind w:firstLine="480" w:firstLineChars="200"/>
        <w:rPr>
          <w:rFonts w:hint="eastAsia" w:ascii="宋体" w:hAnsi="宋体" w:eastAsia="宋体" w:cs="宋体"/>
          <w:sz w:val="24"/>
          <w:szCs w:val="24"/>
          <w:lang w:bidi="ar"/>
        </w:rPr>
      </w:pPr>
      <w:r>
        <w:rPr>
          <w:rFonts w:hint="eastAsia" w:ascii="宋体" w:hAnsi="宋体" w:eastAsia="宋体" w:cs="宋体"/>
          <w:sz w:val="24"/>
          <w:szCs w:val="24"/>
          <w:lang w:bidi="ar"/>
        </w:rPr>
        <w:t>二、建设地点：</w:t>
      </w:r>
    </w:p>
    <w:p>
      <w:pPr>
        <w:spacing w:line="360" w:lineRule="auto"/>
        <w:ind w:firstLine="420" w:firstLineChars="0"/>
        <w:rPr>
          <w:rFonts w:hint="eastAsia" w:ascii="宋体" w:hAnsi="宋体" w:eastAsia="宋体" w:cs="宋体"/>
          <w:sz w:val="24"/>
          <w:szCs w:val="24"/>
          <w:u w:val="single"/>
          <w:lang w:bidi="ar"/>
        </w:rPr>
      </w:pPr>
      <w:r>
        <w:rPr>
          <w:rFonts w:hint="eastAsia" w:ascii="宋体" w:hAnsi="宋体" w:eastAsia="宋体" w:cs="宋体"/>
          <w:sz w:val="24"/>
          <w:szCs w:val="24"/>
          <w:u w:val="single"/>
          <w:lang w:bidi="ar"/>
        </w:rPr>
        <w:t>济南商用车</w:t>
      </w:r>
      <w:r>
        <w:rPr>
          <w:rFonts w:hint="eastAsia" w:ascii="宋体" w:hAnsi="宋体" w:eastAsia="宋体" w:cs="宋体"/>
          <w:sz w:val="24"/>
          <w:szCs w:val="24"/>
          <w:u w:val="single"/>
          <w:lang w:val="en-US" w:eastAsia="zh-CN" w:bidi="ar"/>
        </w:rPr>
        <w:t>制造</w:t>
      </w:r>
      <w:r>
        <w:rPr>
          <w:rFonts w:hint="eastAsia" w:ascii="宋体" w:hAnsi="宋体" w:eastAsia="宋体" w:cs="宋体"/>
          <w:sz w:val="24"/>
          <w:szCs w:val="24"/>
          <w:u w:val="single"/>
          <w:lang w:bidi="ar"/>
        </w:rPr>
        <w:t>公司（章丘重汽工业园）</w:t>
      </w:r>
    </w:p>
    <w:p>
      <w:pPr>
        <w:spacing w:line="360" w:lineRule="auto"/>
        <w:ind w:firstLine="480" w:firstLineChars="200"/>
        <w:rPr>
          <w:rFonts w:hint="eastAsia" w:ascii="宋体" w:hAnsi="宋体" w:eastAsia="宋体" w:cs="宋体"/>
          <w:sz w:val="24"/>
          <w:szCs w:val="24"/>
          <w:lang w:bidi="ar"/>
        </w:rPr>
      </w:pPr>
      <w:r>
        <w:rPr>
          <w:rFonts w:hint="eastAsia" w:ascii="宋体" w:hAnsi="宋体" w:eastAsia="宋体" w:cs="宋体"/>
          <w:sz w:val="24"/>
          <w:szCs w:val="24"/>
          <w:lang w:bidi="ar"/>
        </w:rPr>
        <w:t>三、使用地点：</w:t>
      </w:r>
    </w:p>
    <w:p>
      <w:pPr>
        <w:spacing w:line="360" w:lineRule="auto"/>
        <w:ind w:firstLine="480" w:firstLineChars="200"/>
        <w:rPr>
          <w:rFonts w:hint="eastAsia" w:ascii="宋体" w:hAnsi="宋体" w:eastAsia="宋体" w:cs="宋体"/>
          <w:sz w:val="24"/>
          <w:szCs w:val="24"/>
          <w:u w:val="single"/>
          <w:lang w:bidi="ar"/>
        </w:rPr>
      </w:pPr>
      <w:r>
        <w:rPr>
          <w:rFonts w:hint="eastAsia" w:ascii="宋体" w:hAnsi="宋体" w:eastAsia="宋体" w:cs="宋体"/>
          <w:sz w:val="24"/>
          <w:szCs w:val="24"/>
          <w:u w:val="single"/>
          <w:lang w:bidi="ar"/>
        </w:rPr>
        <w:t>济南商用车</w:t>
      </w:r>
      <w:r>
        <w:rPr>
          <w:rFonts w:hint="eastAsia" w:ascii="宋体" w:hAnsi="宋体" w:eastAsia="宋体" w:cs="宋体"/>
          <w:sz w:val="24"/>
          <w:szCs w:val="24"/>
          <w:u w:val="single"/>
          <w:lang w:val="en-US" w:eastAsia="zh-CN" w:bidi="ar"/>
        </w:rPr>
        <w:t>制造</w:t>
      </w:r>
      <w:r>
        <w:rPr>
          <w:rFonts w:hint="eastAsia" w:ascii="宋体" w:hAnsi="宋体" w:eastAsia="宋体" w:cs="宋体"/>
          <w:sz w:val="24"/>
          <w:szCs w:val="24"/>
          <w:u w:val="single"/>
          <w:lang w:bidi="ar"/>
        </w:rPr>
        <w:t>公司（章丘重汽工业园）</w:t>
      </w:r>
    </w:p>
    <w:p>
      <w:pPr>
        <w:numPr>
          <w:ilvl w:val="0"/>
          <w:numId w:val="11"/>
        </w:numPr>
        <w:spacing w:line="360" w:lineRule="auto"/>
        <w:ind w:firstLine="480" w:firstLineChars="200"/>
        <w:rPr>
          <w:rFonts w:hint="eastAsia" w:ascii="宋体" w:hAnsi="宋体" w:eastAsia="宋体" w:cs="宋体"/>
          <w:sz w:val="24"/>
          <w:szCs w:val="24"/>
          <w:highlight w:val="none"/>
          <w:lang w:bidi="ar"/>
        </w:rPr>
      </w:pPr>
      <w:r>
        <w:rPr>
          <w:rFonts w:hint="eastAsia" w:ascii="宋体" w:hAnsi="宋体" w:eastAsia="宋体" w:cs="宋体"/>
          <w:sz w:val="24"/>
          <w:szCs w:val="24"/>
          <w:lang w:bidi="ar"/>
        </w:rPr>
        <w:t>工作制度：全年工</w:t>
      </w:r>
      <w:r>
        <w:rPr>
          <w:rFonts w:hint="eastAsia" w:ascii="宋体" w:hAnsi="宋体" w:eastAsia="宋体" w:cs="宋体"/>
          <w:sz w:val="24"/>
          <w:szCs w:val="24"/>
          <w:highlight w:val="none"/>
          <w:lang w:bidi="ar"/>
        </w:rPr>
        <w:t>作</w:t>
      </w:r>
      <w:r>
        <w:rPr>
          <w:rFonts w:hint="eastAsia" w:ascii="宋体" w:hAnsi="宋体" w:eastAsia="宋体" w:cs="宋体"/>
          <w:sz w:val="24"/>
          <w:szCs w:val="24"/>
          <w:highlight w:val="none"/>
          <w:u w:val="single"/>
          <w:lang w:bidi="ar"/>
        </w:rPr>
        <w:t xml:space="preserve"> </w:t>
      </w:r>
      <w:r>
        <w:rPr>
          <w:rFonts w:hint="eastAsia" w:ascii="宋体" w:hAnsi="宋体" w:eastAsia="宋体" w:cs="宋体"/>
          <w:sz w:val="24"/>
          <w:szCs w:val="24"/>
          <w:highlight w:val="none"/>
          <w:u w:val="single"/>
          <w:shd w:val="pct10" w:color="auto" w:fill="auto"/>
          <w:lang w:bidi="ar"/>
        </w:rPr>
        <w:t>3</w:t>
      </w:r>
      <w:r>
        <w:rPr>
          <w:rFonts w:hint="eastAsia" w:ascii="宋体" w:hAnsi="宋体" w:eastAsia="宋体" w:cs="宋体"/>
          <w:sz w:val="24"/>
          <w:szCs w:val="24"/>
          <w:highlight w:val="none"/>
          <w:u w:val="single"/>
          <w:shd w:val="pct10" w:color="auto" w:fill="auto"/>
          <w:lang w:val="en-US" w:eastAsia="zh-CN" w:bidi="ar"/>
        </w:rPr>
        <w:t>45</w:t>
      </w:r>
      <w:r>
        <w:rPr>
          <w:rFonts w:hint="eastAsia" w:ascii="宋体" w:hAnsi="宋体" w:eastAsia="宋体" w:cs="宋体"/>
          <w:sz w:val="24"/>
          <w:szCs w:val="24"/>
          <w:highlight w:val="none"/>
          <w:u w:val="single"/>
          <w:shd w:val="pct10" w:color="auto" w:fill="auto"/>
          <w:lang w:bidi="ar"/>
        </w:rPr>
        <w:t xml:space="preserve"> </w:t>
      </w:r>
      <w:r>
        <w:rPr>
          <w:rFonts w:hint="eastAsia" w:ascii="宋体" w:hAnsi="宋体" w:eastAsia="宋体" w:cs="宋体"/>
          <w:sz w:val="24"/>
          <w:szCs w:val="24"/>
          <w:highlight w:val="none"/>
          <w:lang w:bidi="ar"/>
        </w:rPr>
        <w:t>天、年时基数</w:t>
      </w:r>
      <w:r>
        <w:rPr>
          <w:rFonts w:hint="eastAsia" w:ascii="宋体" w:hAnsi="宋体" w:eastAsia="宋体" w:cs="宋体"/>
          <w:sz w:val="24"/>
          <w:szCs w:val="24"/>
          <w:highlight w:val="none"/>
          <w:u w:val="single"/>
          <w:lang w:bidi="ar"/>
        </w:rPr>
        <w:t xml:space="preserve"> </w:t>
      </w:r>
      <w:r>
        <w:rPr>
          <w:rFonts w:hint="eastAsia" w:ascii="宋体" w:hAnsi="宋体" w:eastAsia="宋体" w:cs="宋体"/>
          <w:sz w:val="24"/>
          <w:szCs w:val="24"/>
          <w:highlight w:val="none"/>
          <w:u w:val="single"/>
          <w:shd w:val="pct10" w:color="auto" w:fill="auto"/>
          <w:lang w:val="en-US" w:eastAsia="zh-CN" w:bidi="ar"/>
        </w:rPr>
        <w:t>76</w:t>
      </w:r>
      <w:r>
        <w:rPr>
          <w:rFonts w:hint="eastAsia" w:ascii="宋体" w:hAnsi="宋体" w:eastAsia="宋体" w:cs="宋体"/>
          <w:sz w:val="24"/>
          <w:szCs w:val="24"/>
          <w:highlight w:val="none"/>
          <w:u w:val="single"/>
          <w:shd w:val="pct10" w:color="auto" w:fill="auto"/>
          <w:lang w:bidi="ar"/>
        </w:rPr>
        <w:t xml:space="preserve">00 </w:t>
      </w:r>
      <w:r>
        <w:rPr>
          <w:rFonts w:hint="eastAsia" w:ascii="宋体" w:hAnsi="宋体" w:eastAsia="宋体" w:cs="宋体"/>
          <w:sz w:val="24"/>
          <w:szCs w:val="24"/>
          <w:highlight w:val="none"/>
          <w:lang w:bidi="ar"/>
        </w:rPr>
        <w:t>小时</w:t>
      </w:r>
    </w:p>
    <w:p>
      <w:pPr>
        <w:numPr>
          <w:ilvl w:val="0"/>
          <w:numId w:val="11"/>
        </w:numPr>
        <w:spacing w:line="360" w:lineRule="auto"/>
        <w:ind w:firstLine="480" w:firstLineChars="200"/>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val="en-US" w:eastAsia="zh-CN" w:bidi="ar"/>
        </w:rPr>
        <w:t>使用年限：10年</w:t>
      </w:r>
    </w:p>
    <w:p>
      <w:pPr>
        <w:spacing w:line="360" w:lineRule="auto"/>
        <w:ind w:firstLine="480" w:firstLineChars="200"/>
        <w:rPr>
          <w:rFonts w:hint="eastAsia" w:ascii="宋体" w:hAnsi="宋体" w:eastAsia="宋体" w:cs="宋体"/>
          <w:highlight w:val="none"/>
        </w:rPr>
      </w:pPr>
      <w:r>
        <w:rPr>
          <w:rFonts w:hint="eastAsia" w:ascii="宋体" w:hAnsi="宋体" w:eastAsia="宋体" w:cs="宋体"/>
          <w:sz w:val="24"/>
          <w:szCs w:val="24"/>
          <w:highlight w:val="none"/>
          <w:lang w:val="en-US" w:eastAsia="zh-CN" w:bidi="ar"/>
        </w:rPr>
        <w:t>六</w:t>
      </w:r>
      <w:r>
        <w:rPr>
          <w:rFonts w:hint="eastAsia" w:ascii="宋体" w:hAnsi="宋体" w:eastAsia="宋体" w:cs="宋体"/>
          <w:sz w:val="24"/>
          <w:szCs w:val="24"/>
          <w:highlight w:val="none"/>
          <w:lang w:bidi="ar"/>
        </w:rPr>
        <w:t>、使用地点区域自然环境：</w:t>
      </w:r>
    </w:p>
    <w:p>
      <w:pPr>
        <w:numPr>
          <w:ilvl w:val="0"/>
          <w:numId w:val="0"/>
        </w:numPr>
        <w:spacing w:line="360" w:lineRule="auto"/>
        <w:ind w:left="480" w:leftChars="0"/>
        <w:rPr>
          <w:rFonts w:hint="eastAsia" w:ascii="宋体" w:hAnsi="宋体" w:eastAsia="宋体" w:cs="宋体"/>
          <w:bCs/>
          <w:sz w:val="24"/>
          <w:szCs w:val="24"/>
          <w:lang w:eastAsia="zh-CN" w:bidi="ar"/>
        </w:rPr>
      </w:pPr>
      <w:r>
        <w:rPr>
          <w:rFonts w:hint="eastAsia" w:ascii="宋体" w:hAnsi="宋体" w:eastAsia="宋体" w:cs="宋体"/>
          <w:bCs/>
          <w:sz w:val="24"/>
          <w:szCs w:val="24"/>
          <w:lang w:val="en-US" w:eastAsia="zh-CN" w:bidi="ar"/>
        </w:rPr>
        <w:t>1、</w:t>
      </w:r>
      <w:r>
        <w:rPr>
          <w:rFonts w:hint="eastAsia" w:ascii="宋体" w:hAnsi="宋体" w:eastAsia="宋体" w:cs="宋体"/>
          <w:bCs/>
          <w:sz w:val="24"/>
          <w:szCs w:val="24"/>
          <w:lang w:bidi="ar"/>
        </w:rPr>
        <w:t>海拨高度：4000m以下</w:t>
      </w:r>
      <w:r>
        <w:rPr>
          <w:rFonts w:hint="eastAsia" w:ascii="宋体" w:hAnsi="宋体" w:eastAsia="宋体" w:cs="宋体"/>
          <w:bCs/>
          <w:sz w:val="24"/>
          <w:szCs w:val="24"/>
          <w:lang w:eastAsia="zh-CN" w:bidi="ar"/>
        </w:rPr>
        <w:t>。</w:t>
      </w:r>
    </w:p>
    <w:p>
      <w:pPr>
        <w:numPr>
          <w:ilvl w:val="0"/>
          <w:numId w:val="0"/>
        </w:numPr>
        <w:spacing w:line="360" w:lineRule="auto"/>
        <w:ind w:left="480" w:leftChars="0"/>
        <w:rPr>
          <w:rFonts w:hint="eastAsia" w:ascii="宋体" w:hAnsi="宋体" w:eastAsia="宋体" w:cs="宋体"/>
          <w:bCs/>
          <w:sz w:val="24"/>
          <w:szCs w:val="24"/>
          <w:lang w:bidi="ar"/>
        </w:rPr>
      </w:pPr>
      <w:r>
        <w:rPr>
          <w:rFonts w:hint="eastAsia" w:ascii="宋体" w:hAnsi="宋体" w:eastAsia="宋体" w:cs="宋体"/>
          <w:bCs/>
          <w:sz w:val="24"/>
          <w:szCs w:val="24"/>
          <w:lang w:val="en-US" w:eastAsia="zh-CN" w:bidi="ar"/>
        </w:rPr>
        <w:t>2、</w:t>
      </w:r>
      <w:r>
        <w:rPr>
          <w:rFonts w:hint="eastAsia" w:ascii="宋体" w:hAnsi="宋体" w:eastAsia="宋体" w:cs="宋体"/>
          <w:bCs/>
          <w:sz w:val="24"/>
          <w:szCs w:val="24"/>
          <w:lang w:bidi="ar"/>
        </w:rPr>
        <w:t>环境温度：室外极端最低温</w:t>
      </w:r>
      <w:r>
        <w:rPr>
          <w:rFonts w:hint="eastAsia" w:ascii="宋体" w:hAnsi="宋体" w:eastAsia="宋体" w:cs="宋体"/>
          <w:bCs/>
          <w:sz w:val="24"/>
          <w:szCs w:val="24"/>
          <w:highlight w:val="yellow"/>
          <w:lang w:bidi="ar"/>
        </w:rPr>
        <w:t>度-2</w:t>
      </w:r>
      <w:r>
        <w:rPr>
          <w:rFonts w:hint="eastAsia" w:ascii="宋体" w:hAnsi="宋体" w:eastAsia="宋体" w:cs="宋体"/>
          <w:bCs/>
          <w:sz w:val="24"/>
          <w:szCs w:val="24"/>
          <w:highlight w:val="yellow"/>
          <w:lang w:val="en-US" w:eastAsia="zh-CN" w:bidi="ar"/>
        </w:rPr>
        <w:t>7</w:t>
      </w:r>
      <w:r>
        <w:rPr>
          <w:rFonts w:hint="eastAsia" w:ascii="宋体" w:hAnsi="宋体" w:eastAsia="宋体" w:cs="宋体"/>
          <w:bCs/>
          <w:sz w:val="24"/>
          <w:szCs w:val="24"/>
          <w:highlight w:val="yellow"/>
          <w:lang w:bidi="ar"/>
        </w:rPr>
        <w:t>℃、</w:t>
      </w:r>
      <w:r>
        <w:rPr>
          <w:rFonts w:hint="eastAsia" w:ascii="宋体" w:hAnsi="宋体" w:eastAsia="宋体" w:cs="宋体"/>
          <w:bCs/>
          <w:sz w:val="24"/>
          <w:szCs w:val="24"/>
          <w:lang w:bidi="ar"/>
        </w:rPr>
        <w:t>极端最高温度45℃，昼夜最大温差25℃。</w:t>
      </w:r>
    </w:p>
    <w:p>
      <w:pPr>
        <w:numPr>
          <w:ilvl w:val="0"/>
          <w:numId w:val="0"/>
        </w:numPr>
        <w:spacing w:line="360" w:lineRule="auto"/>
        <w:ind w:left="480" w:leftChars="0"/>
        <w:rPr>
          <w:rFonts w:hint="eastAsia" w:ascii="宋体" w:hAnsi="宋体" w:eastAsia="宋体" w:cs="宋体"/>
        </w:rPr>
      </w:pPr>
      <w:r>
        <w:rPr>
          <w:rFonts w:hint="eastAsia" w:ascii="宋体" w:hAnsi="宋体" w:eastAsia="宋体" w:cs="宋体"/>
          <w:bCs/>
          <w:sz w:val="24"/>
          <w:szCs w:val="24"/>
          <w:lang w:val="en-US" w:eastAsia="zh-CN" w:bidi="ar"/>
        </w:rPr>
        <w:t>3、</w:t>
      </w:r>
      <w:r>
        <w:rPr>
          <w:rFonts w:hint="eastAsia" w:ascii="宋体" w:hAnsi="宋体" w:eastAsia="宋体" w:cs="宋体"/>
          <w:sz w:val="24"/>
          <w:szCs w:val="24"/>
          <w:lang w:bidi="ar"/>
        </w:rPr>
        <w:t>相对湿度：年平均59%，</w:t>
      </w:r>
      <w:r>
        <w:rPr>
          <w:rFonts w:hint="eastAsia" w:ascii="宋体" w:hAnsi="宋体" w:eastAsia="宋体" w:cs="宋体"/>
          <w:bCs/>
          <w:sz w:val="24"/>
          <w:szCs w:val="24"/>
          <w:lang w:bidi="ar"/>
        </w:rPr>
        <w:t>最大95%、最小15%。</w:t>
      </w:r>
    </w:p>
    <w:p>
      <w:pPr>
        <w:spacing w:line="360" w:lineRule="auto"/>
        <w:ind w:firstLine="480" w:firstLineChars="200"/>
        <w:rPr>
          <w:rFonts w:hint="eastAsia" w:ascii="宋体" w:hAnsi="宋体" w:eastAsia="宋体" w:cs="宋体"/>
        </w:rPr>
      </w:pPr>
      <w:r>
        <w:rPr>
          <w:rFonts w:hint="eastAsia" w:ascii="宋体" w:hAnsi="宋体" w:eastAsia="宋体" w:cs="宋体"/>
          <w:sz w:val="24"/>
          <w:szCs w:val="24"/>
          <w:lang w:val="en-US" w:eastAsia="zh-CN" w:bidi="ar"/>
        </w:rPr>
        <w:t>七</w:t>
      </w:r>
      <w:r>
        <w:rPr>
          <w:rFonts w:hint="eastAsia" w:ascii="宋体" w:hAnsi="宋体" w:eastAsia="宋体" w:cs="宋体"/>
          <w:sz w:val="24"/>
          <w:szCs w:val="24"/>
          <w:lang w:bidi="ar"/>
        </w:rPr>
        <w:t>、能源环境：</w:t>
      </w:r>
    </w:p>
    <w:p>
      <w:pPr>
        <w:numPr>
          <w:ilvl w:val="0"/>
          <w:numId w:val="0"/>
        </w:numPr>
        <w:spacing w:line="360" w:lineRule="auto"/>
        <w:ind w:left="480" w:leftChars="0"/>
        <w:rPr>
          <w:rFonts w:hint="eastAsia" w:ascii="宋体" w:hAnsi="宋体" w:eastAsia="宋体" w:cs="宋体"/>
          <w:bCs/>
          <w:sz w:val="24"/>
          <w:szCs w:val="24"/>
          <w:lang w:val="en-US" w:eastAsia="zh-CN" w:bidi="ar"/>
        </w:rPr>
      </w:pPr>
      <w:r>
        <w:rPr>
          <w:rFonts w:hint="eastAsia" w:ascii="宋体" w:hAnsi="宋体" w:eastAsia="宋体" w:cs="宋体"/>
          <w:bCs/>
          <w:sz w:val="24"/>
          <w:szCs w:val="24"/>
          <w:lang w:val="en-US" w:eastAsia="zh-CN" w:bidi="ar"/>
        </w:rPr>
        <w:t>1、电力：中国制式，三相五线制供电，供电电压380V±10%/220V±10%，供电频率50Hz±0.5Hz。</w:t>
      </w:r>
    </w:p>
    <w:p>
      <w:pPr>
        <w:numPr>
          <w:ilvl w:val="0"/>
          <w:numId w:val="0"/>
        </w:numPr>
        <w:spacing w:line="360" w:lineRule="auto"/>
        <w:ind w:left="480" w:leftChars="0"/>
        <w:rPr>
          <w:rFonts w:hint="eastAsia" w:ascii="宋体" w:hAnsi="宋体" w:eastAsia="宋体" w:cs="宋体"/>
          <w:bCs/>
          <w:sz w:val="24"/>
          <w:szCs w:val="24"/>
          <w:lang w:val="en-US" w:eastAsia="zh-CN" w:bidi="ar"/>
        </w:rPr>
      </w:pPr>
      <w:r>
        <w:rPr>
          <w:rFonts w:hint="eastAsia" w:ascii="宋体" w:hAnsi="宋体" w:eastAsia="宋体" w:cs="宋体"/>
          <w:bCs/>
          <w:sz w:val="24"/>
          <w:szCs w:val="24"/>
          <w:lang w:val="en-US" w:eastAsia="zh-CN" w:bidi="ar"/>
        </w:rPr>
        <w:t>2、水：市政自来水0.25MPa(0.15-0.35MPa)。</w:t>
      </w:r>
    </w:p>
    <w:p>
      <w:pPr>
        <w:numPr>
          <w:ilvl w:val="0"/>
          <w:numId w:val="0"/>
        </w:numPr>
        <w:spacing w:line="360" w:lineRule="auto"/>
        <w:ind w:left="480" w:leftChars="0"/>
        <w:rPr>
          <w:rFonts w:hint="eastAsia" w:ascii="宋体" w:hAnsi="宋体" w:eastAsia="宋体" w:cs="宋体"/>
          <w:bCs/>
          <w:sz w:val="24"/>
          <w:szCs w:val="24"/>
          <w:lang w:val="en-US" w:eastAsia="zh-CN" w:bidi="ar"/>
        </w:rPr>
      </w:pPr>
      <w:r>
        <w:rPr>
          <w:rFonts w:hint="eastAsia" w:ascii="宋体" w:hAnsi="宋体" w:eastAsia="宋体" w:cs="宋体"/>
          <w:bCs/>
          <w:sz w:val="24"/>
          <w:szCs w:val="24"/>
          <w:lang w:val="en-US" w:eastAsia="zh-CN" w:bidi="ar"/>
        </w:rPr>
        <w:t>3、非采暖季：动力站房供高温热水，供回水温度80℃/60℃。</w:t>
      </w:r>
    </w:p>
    <w:p>
      <w:pPr>
        <w:numPr>
          <w:ilvl w:val="0"/>
          <w:numId w:val="0"/>
        </w:numPr>
        <w:spacing w:line="360" w:lineRule="auto"/>
        <w:ind w:left="480" w:leftChars="0"/>
        <w:rPr>
          <w:rFonts w:hint="eastAsia" w:ascii="宋体" w:hAnsi="宋体" w:eastAsia="宋体" w:cs="宋体"/>
          <w:bCs/>
          <w:sz w:val="24"/>
          <w:szCs w:val="24"/>
          <w:lang w:val="en-US" w:eastAsia="zh-CN" w:bidi="ar"/>
        </w:rPr>
      </w:pPr>
      <w:r>
        <w:rPr>
          <w:rFonts w:hint="eastAsia" w:ascii="宋体" w:hAnsi="宋体" w:eastAsia="宋体" w:cs="宋体"/>
          <w:bCs/>
          <w:sz w:val="24"/>
          <w:szCs w:val="24"/>
          <w:lang w:val="en-US" w:eastAsia="zh-CN" w:bidi="ar"/>
        </w:rPr>
        <w:t>4、压缩空气：厂区空压机自产压缩空气，0.55～0.7 Mpa。</w:t>
      </w:r>
    </w:p>
    <w:p>
      <w:pPr>
        <w:spacing w:line="360" w:lineRule="auto"/>
        <w:ind w:firstLine="480" w:firstLineChars="200"/>
        <w:rPr>
          <w:rFonts w:hint="eastAsia" w:ascii="宋体" w:hAnsi="宋体" w:eastAsia="宋体" w:cs="宋体"/>
          <w:sz w:val="24"/>
          <w:szCs w:val="24"/>
          <w:lang w:val="en-US" w:eastAsia="zh-CN" w:bidi="ar"/>
        </w:rPr>
      </w:pPr>
    </w:p>
    <w:p>
      <w:pPr>
        <w:pStyle w:val="5"/>
        <w:widowControl/>
        <w:spacing w:before="120" w:after="120" w:line="360" w:lineRule="auto"/>
        <w:jc w:val="center"/>
        <w:rPr>
          <w:rFonts w:hint="eastAsia" w:ascii="宋体" w:hAnsi="宋体" w:eastAsia="宋体" w:cs="宋体"/>
          <w:sz w:val="24"/>
          <w:szCs w:val="24"/>
        </w:rPr>
      </w:pPr>
      <w:r>
        <w:rPr>
          <w:rFonts w:hint="eastAsia" w:ascii="宋体" w:hAnsi="宋体" w:eastAsia="宋体" w:cs="宋体"/>
          <w:sz w:val="24"/>
          <w:szCs w:val="24"/>
          <w:lang w:bidi="ar"/>
        </w:rPr>
        <w:br w:type="page"/>
      </w:r>
      <w:bookmarkStart w:id="34" w:name="_Toc326840033"/>
      <w:r>
        <w:rPr>
          <w:rFonts w:hint="eastAsia" w:ascii="宋体" w:hAnsi="宋体" w:eastAsia="宋体" w:cs="宋体"/>
          <w:b/>
          <w:bCs w:val="0"/>
          <w:sz w:val="24"/>
          <w:szCs w:val="24"/>
        </w:rPr>
        <w:t>第二节  采购货物概况</w:t>
      </w:r>
      <w:bookmarkEnd w:id="34"/>
    </w:p>
    <w:p>
      <w:pPr>
        <w:spacing w:line="240" w:lineRule="auto"/>
        <w:ind w:firstLine="0" w:firstLineChars="0"/>
        <w:rPr>
          <w:rFonts w:hint="eastAsia" w:ascii="宋体" w:hAnsi="宋体" w:eastAsia="宋体" w:cs="宋体"/>
          <w:lang w:eastAsia="zh-CN"/>
        </w:rPr>
      </w:pPr>
      <w:r>
        <w:rPr>
          <w:rFonts w:hint="eastAsia" w:ascii="宋体" w:hAnsi="宋体" w:eastAsia="宋体" w:cs="宋体"/>
          <w:sz w:val="24"/>
          <w:szCs w:val="24"/>
          <w:lang w:bidi="ar"/>
        </w:rPr>
        <w:t>一、货物名称：</w:t>
      </w:r>
      <w:r>
        <w:rPr>
          <w:rFonts w:hint="eastAsia" w:ascii="宋体" w:hAnsi="宋体" w:eastAsia="宋体" w:cs="宋体"/>
          <w:sz w:val="24"/>
          <w:szCs w:val="24"/>
          <w:u w:val="single"/>
          <w:lang w:eastAsia="zh-CN" w:bidi="ar"/>
        </w:rPr>
        <w:t>中国重汽集团济南商用车有限公司前风挡玻璃涂胶工作站改造项目</w:t>
      </w:r>
    </w:p>
    <w:p>
      <w:pPr>
        <w:spacing w:line="360" w:lineRule="auto"/>
        <w:rPr>
          <w:rFonts w:hint="eastAsia" w:ascii="宋体" w:hAnsi="宋体" w:eastAsia="宋体" w:cs="宋体"/>
          <w:sz w:val="24"/>
          <w:szCs w:val="24"/>
          <w:lang w:bidi="ar"/>
        </w:rPr>
      </w:pPr>
      <w:r>
        <w:rPr>
          <w:rFonts w:hint="eastAsia" w:ascii="宋体" w:hAnsi="宋体" w:eastAsia="宋体" w:cs="宋体"/>
          <w:sz w:val="24"/>
          <w:szCs w:val="24"/>
          <w:lang w:bidi="ar"/>
        </w:rPr>
        <w:t>二、货物数量：</w:t>
      </w:r>
      <w:r>
        <w:rPr>
          <w:rFonts w:hint="eastAsia" w:ascii="宋体" w:hAnsi="宋体" w:eastAsia="宋体" w:cs="宋体"/>
          <w:sz w:val="24"/>
          <w:szCs w:val="24"/>
          <w:u w:val="single"/>
          <w:shd w:val="pct10" w:color="auto" w:fill="FFFFFF"/>
          <w:lang w:bidi="ar"/>
        </w:rPr>
        <w:t xml:space="preserve">   一套   </w:t>
      </w:r>
      <w:r>
        <w:rPr>
          <w:rFonts w:hint="eastAsia" w:ascii="宋体" w:hAnsi="宋体" w:eastAsia="宋体" w:cs="宋体"/>
          <w:sz w:val="24"/>
          <w:szCs w:val="24"/>
          <w:lang w:bidi="ar"/>
        </w:rPr>
        <w:t>（详见下表）</w:t>
      </w:r>
    </w:p>
    <w:p>
      <w:pPr>
        <w:spacing w:line="360" w:lineRule="auto"/>
        <w:rPr>
          <w:rFonts w:hint="eastAsia" w:ascii="宋体" w:hAnsi="宋体" w:eastAsia="宋体" w:cs="宋体"/>
          <w:u w:val="single"/>
          <w:shd w:val="pct10" w:color="auto" w:fill="FFFFFF"/>
        </w:rPr>
      </w:pPr>
      <w:r>
        <w:rPr>
          <w:rFonts w:hint="eastAsia" w:ascii="宋体" w:hAnsi="宋体" w:eastAsia="宋体" w:cs="宋体"/>
          <w:sz w:val="24"/>
          <w:szCs w:val="24"/>
          <w:lang w:bidi="ar"/>
        </w:rPr>
        <w:t>三、分投分中：</w:t>
      </w:r>
      <w:r>
        <w:rPr>
          <w:rFonts w:hint="eastAsia" w:ascii="宋体" w:hAnsi="宋体" w:eastAsia="宋体" w:cs="宋体"/>
          <w:sz w:val="24"/>
          <w:szCs w:val="24"/>
          <w:u w:val="single"/>
          <w:shd w:val="pct10" w:color="auto" w:fill="FFFFFF"/>
          <w:lang w:bidi="ar"/>
        </w:rPr>
        <w:t>不允许</w:t>
      </w:r>
    </w:p>
    <w:p>
      <w:pPr>
        <w:spacing w:line="360" w:lineRule="auto"/>
        <w:jc w:val="center"/>
        <w:rPr>
          <w:rFonts w:hint="eastAsia" w:ascii="宋体" w:hAnsi="宋体" w:eastAsia="宋体" w:cs="宋体"/>
          <w:color w:val="000000"/>
          <w:sz w:val="24"/>
          <w:szCs w:val="24"/>
        </w:rPr>
      </w:pPr>
      <w:r>
        <w:rPr>
          <w:rFonts w:hint="eastAsia" w:ascii="宋体" w:hAnsi="宋体" w:eastAsia="宋体" w:cs="宋体"/>
          <w:sz w:val="24"/>
          <w:szCs w:val="24"/>
          <w:lang w:bidi="ar"/>
        </w:rPr>
        <w:t>采购货物主要构成一览表</w:t>
      </w:r>
    </w:p>
    <w:tbl>
      <w:tblPr>
        <w:tblStyle w:val="37"/>
        <w:tblW w:w="93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4467"/>
        <w:gridCol w:w="878"/>
        <w:gridCol w:w="80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780" w:type="dxa"/>
            <w:vAlign w:val="center"/>
          </w:tcPr>
          <w:p>
            <w:pPr>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457" w:type="dxa"/>
            <w:vAlign w:val="center"/>
          </w:tcPr>
          <w:p>
            <w:pPr>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名称</w:t>
            </w:r>
          </w:p>
        </w:tc>
        <w:tc>
          <w:tcPr>
            <w:tcW w:w="4467" w:type="dxa"/>
            <w:vAlign w:val="center"/>
          </w:tcPr>
          <w:p>
            <w:pPr>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规格</w:t>
            </w:r>
          </w:p>
        </w:tc>
        <w:tc>
          <w:tcPr>
            <w:tcW w:w="878" w:type="dxa"/>
            <w:vAlign w:val="center"/>
          </w:tcPr>
          <w:p>
            <w:pPr>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单位</w:t>
            </w:r>
          </w:p>
        </w:tc>
        <w:tc>
          <w:tcPr>
            <w:tcW w:w="805" w:type="dxa"/>
            <w:vAlign w:val="center"/>
          </w:tcPr>
          <w:p>
            <w:pPr>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数量</w:t>
            </w:r>
          </w:p>
        </w:tc>
        <w:tc>
          <w:tcPr>
            <w:tcW w:w="1009" w:type="dxa"/>
            <w:vAlign w:val="center"/>
          </w:tcPr>
          <w:p>
            <w:pPr>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安装</w:t>
            </w:r>
          </w:p>
          <w:p>
            <w:pPr>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80" w:type="dxa"/>
            <w:vAlign w:val="center"/>
          </w:tcPr>
          <w:p>
            <w:pPr>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sz w:val="24"/>
                <w:szCs w:val="24"/>
              </w:rPr>
              <w:t>1</w:t>
            </w:r>
          </w:p>
        </w:tc>
        <w:tc>
          <w:tcPr>
            <w:tcW w:w="1457" w:type="dxa"/>
            <w:vAlign w:val="center"/>
          </w:tcPr>
          <w:p>
            <w:pPr>
              <w:widowControl/>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前风挡玻璃涂胶工作站改造</w:t>
            </w:r>
          </w:p>
        </w:tc>
        <w:tc>
          <w:tcPr>
            <w:tcW w:w="4467" w:type="dxa"/>
            <w:vAlign w:val="center"/>
          </w:tcPr>
          <w:p>
            <w:pPr>
              <w:numPr>
                <w:ilvl w:val="0"/>
                <w:numId w:val="0"/>
              </w:numPr>
              <w:spacing w:line="360" w:lineRule="auto"/>
              <w:jc w:val="left"/>
              <w:textAlignment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1、拆除部分原有设备</w:t>
            </w:r>
          </w:p>
          <w:p>
            <w:pPr>
              <w:numPr>
                <w:ilvl w:val="0"/>
                <w:numId w:val="0"/>
              </w:numPr>
              <w:spacing w:line="360" w:lineRule="auto"/>
              <w:jc w:val="left"/>
              <w:textAlignment w:val="center"/>
              <w:rPr>
                <w:rFonts w:hint="eastAsia" w:ascii="宋体" w:hAnsi="宋体" w:eastAsia="宋体" w:cs="宋体"/>
                <w:szCs w:val="21"/>
                <w:lang w:bidi="ar"/>
              </w:rPr>
            </w:pPr>
            <w:r>
              <w:rPr>
                <w:rFonts w:hint="eastAsia" w:ascii="宋体" w:hAnsi="宋体" w:eastAsia="宋体" w:cs="宋体"/>
                <w:sz w:val="24"/>
                <w:szCs w:val="24"/>
                <w:lang w:val="en-US" w:eastAsia="zh-CN" w:bidi="ar"/>
              </w:rPr>
              <w:t>2、新增供胶系统、胶型检测系统、烘干系统，检查维修清胶系统等。</w:t>
            </w:r>
          </w:p>
        </w:tc>
        <w:tc>
          <w:tcPr>
            <w:tcW w:w="878" w:type="dxa"/>
            <w:vAlign w:val="center"/>
          </w:tcPr>
          <w:p>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805" w:type="dxa"/>
            <w:vAlign w:val="center"/>
          </w:tcPr>
          <w:p>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009" w:type="dxa"/>
            <w:vMerge w:val="restart"/>
            <w:vAlign w:val="center"/>
          </w:tcPr>
          <w:p>
            <w:pPr>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（章丘重汽工业园）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pPr>
              <w:spacing w:line="360" w:lineRule="auto"/>
              <w:jc w:val="center"/>
              <w:textAlignment w:val="center"/>
              <w:rPr>
                <w:rFonts w:hint="eastAsia" w:ascii="宋体" w:hAnsi="宋体" w:eastAsia="宋体" w:cs="宋体"/>
                <w:sz w:val="24"/>
                <w:szCs w:val="24"/>
              </w:rPr>
            </w:pPr>
          </w:p>
        </w:tc>
        <w:tc>
          <w:tcPr>
            <w:tcW w:w="1457" w:type="dxa"/>
            <w:vAlign w:val="center"/>
          </w:tcPr>
          <w:p>
            <w:pPr>
              <w:spacing w:line="360" w:lineRule="auto"/>
              <w:jc w:val="center"/>
              <w:textAlignment w:val="center"/>
              <w:rPr>
                <w:rFonts w:hint="eastAsia" w:ascii="宋体" w:hAnsi="宋体" w:eastAsia="宋体" w:cs="宋体"/>
                <w:b/>
                <w:bCs/>
                <w:sz w:val="24"/>
                <w:szCs w:val="24"/>
              </w:rPr>
            </w:pPr>
            <w:r>
              <w:rPr>
                <w:rFonts w:hint="eastAsia" w:ascii="宋体" w:hAnsi="宋体" w:eastAsia="宋体" w:cs="宋体"/>
                <w:b/>
                <w:bCs/>
                <w:sz w:val="24"/>
                <w:szCs w:val="24"/>
                <w:lang w:bidi="ar"/>
              </w:rPr>
              <w:t>合计</w:t>
            </w:r>
          </w:p>
        </w:tc>
        <w:tc>
          <w:tcPr>
            <w:tcW w:w="4467" w:type="dxa"/>
            <w:vAlign w:val="center"/>
          </w:tcPr>
          <w:p>
            <w:pPr>
              <w:spacing w:line="360" w:lineRule="auto"/>
              <w:jc w:val="center"/>
              <w:textAlignment w:val="center"/>
              <w:rPr>
                <w:rFonts w:hint="eastAsia" w:ascii="宋体" w:hAnsi="宋体" w:eastAsia="宋体" w:cs="宋体"/>
                <w:b/>
                <w:bCs/>
                <w:sz w:val="24"/>
                <w:szCs w:val="24"/>
              </w:rPr>
            </w:pPr>
          </w:p>
        </w:tc>
        <w:tc>
          <w:tcPr>
            <w:tcW w:w="878" w:type="dxa"/>
            <w:vAlign w:val="center"/>
          </w:tcPr>
          <w:p>
            <w:pPr>
              <w:spacing w:line="360" w:lineRule="auto"/>
              <w:jc w:val="center"/>
              <w:textAlignment w:val="center"/>
              <w:rPr>
                <w:rFonts w:hint="eastAsia" w:ascii="宋体" w:hAnsi="宋体" w:eastAsia="宋体" w:cs="宋体"/>
                <w:b/>
                <w:bCs/>
                <w:sz w:val="24"/>
                <w:szCs w:val="24"/>
              </w:rPr>
            </w:pPr>
          </w:p>
        </w:tc>
        <w:tc>
          <w:tcPr>
            <w:tcW w:w="805" w:type="dxa"/>
            <w:vAlign w:val="center"/>
          </w:tcPr>
          <w:p>
            <w:pPr>
              <w:spacing w:line="360" w:lineRule="auto"/>
              <w:jc w:val="center"/>
              <w:textAlignment w:val="center"/>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1</w:t>
            </w:r>
          </w:p>
        </w:tc>
        <w:tc>
          <w:tcPr>
            <w:tcW w:w="1009" w:type="dxa"/>
            <w:vMerge w:val="continue"/>
            <w:vAlign w:val="center"/>
          </w:tcPr>
          <w:p>
            <w:pPr>
              <w:snapToGrid w:val="0"/>
              <w:spacing w:line="360" w:lineRule="auto"/>
              <w:jc w:val="center"/>
              <w:rPr>
                <w:rFonts w:hint="eastAsia" w:ascii="宋体" w:hAnsi="宋体" w:eastAsia="宋体" w:cs="宋体"/>
                <w:color w:val="000000"/>
                <w:sz w:val="24"/>
                <w:szCs w:val="24"/>
              </w:rPr>
            </w:pP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12"/>
        </w:numPr>
        <w:spacing w:line="360" w:lineRule="auto"/>
        <w:ind w:firstLine="480" w:firstLineChars="200"/>
        <w:rPr>
          <w:rFonts w:hint="eastAsia" w:ascii="宋体" w:hAnsi="宋体" w:eastAsia="宋体" w:cs="宋体"/>
          <w:b/>
          <w:bCs/>
          <w:szCs w:val="20"/>
        </w:rPr>
      </w:pPr>
      <w:r>
        <w:rPr>
          <w:rFonts w:hint="eastAsia" w:ascii="宋体" w:hAnsi="宋体" w:eastAsia="宋体" w:cs="宋体"/>
          <w:bCs/>
          <w:sz w:val="24"/>
          <w:szCs w:val="24"/>
        </w:rPr>
        <w:t>本表“供货方式”指：交钥匙方式——包括制造、运输、定点卸货、安装、调试和协助验收以及约定培训等。</w:t>
      </w:r>
    </w:p>
    <w:p>
      <w:pPr>
        <w:numPr>
          <w:ilvl w:val="0"/>
          <w:numId w:val="12"/>
        </w:numPr>
        <w:spacing w:line="360" w:lineRule="auto"/>
        <w:ind w:firstLine="482" w:firstLineChars="200"/>
        <w:rPr>
          <w:rFonts w:hint="eastAsia" w:ascii="宋体" w:hAnsi="宋体" w:eastAsia="宋体" w:cs="宋体"/>
          <w:bCs/>
          <w:sz w:val="24"/>
          <w:szCs w:val="24"/>
        </w:rPr>
      </w:pPr>
      <w:r>
        <w:rPr>
          <w:rFonts w:hint="eastAsia" w:ascii="宋体" w:hAnsi="宋体" w:eastAsia="宋体" w:cs="宋体"/>
          <w:b/>
          <w:sz w:val="24"/>
          <w:szCs w:val="24"/>
        </w:rPr>
        <w:t>采购货物特别说明：</w:t>
      </w:r>
      <w:r>
        <w:rPr>
          <w:rFonts w:hint="eastAsia" w:ascii="宋体" w:hAnsi="宋体" w:eastAsia="宋体" w:cs="宋体"/>
          <w:b/>
          <w:bCs/>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宋体"/>
          <w:b/>
          <w:bCs/>
          <w:szCs w:val="20"/>
        </w:rPr>
        <w:t>。</w:t>
      </w:r>
    </w:p>
    <w:p>
      <w:pPr>
        <w:pStyle w:val="18"/>
        <w:spacing w:line="360" w:lineRule="auto"/>
        <w:jc w:val="center"/>
        <w:rPr>
          <w:rFonts w:hint="eastAsia" w:ascii="宋体" w:hAnsi="宋体" w:eastAsia="宋体" w:cs="宋体"/>
          <w:b/>
          <w:sz w:val="24"/>
          <w:szCs w:val="24"/>
        </w:rPr>
      </w:pPr>
    </w:p>
    <w:p>
      <w:pPr>
        <w:pStyle w:val="18"/>
        <w:spacing w:line="360" w:lineRule="auto"/>
        <w:jc w:val="center"/>
        <w:rPr>
          <w:rFonts w:hint="eastAsia" w:ascii="宋体" w:hAnsi="宋体" w:eastAsia="宋体" w:cs="宋体"/>
          <w:b/>
          <w:sz w:val="24"/>
          <w:szCs w:val="24"/>
        </w:rPr>
      </w:pPr>
    </w:p>
    <w:p>
      <w:pPr>
        <w:pStyle w:val="18"/>
        <w:spacing w:line="360" w:lineRule="auto"/>
        <w:jc w:val="center"/>
        <w:rPr>
          <w:rFonts w:hint="eastAsia" w:ascii="宋体" w:hAnsi="宋体" w:eastAsia="宋体" w:cs="宋体"/>
          <w:b/>
          <w:sz w:val="24"/>
          <w:szCs w:val="24"/>
        </w:rPr>
      </w:pPr>
    </w:p>
    <w:p>
      <w:pPr>
        <w:pStyle w:val="18"/>
        <w:spacing w:line="360" w:lineRule="auto"/>
        <w:jc w:val="center"/>
        <w:rPr>
          <w:rFonts w:hint="eastAsia" w:ascii="宋体" w:hAnsi="宋体" w:eastAsia="宋体" w:cs="宋体"/>
          <w:b/>
          <w:sz w:val="24"/>
          <w:szCs w:val="24"/>
        </w:rPr>
      </w:pPr>
    </w:p>
    <w:p>
      <w:pPr>
        <w:pStyle w:val="18"/>
        <w:spacing w:line="360" w:lineRule="auto"/>
        <w:jc w:val="center"/>
        <w:rPr>
          <w:rFonts w:hint="eastAsia" w:ascii="宋体" w:hAnsi="宋体" w:eastAsia="宋体" w:cs="宋体"/>
          <w:b/>
          <w:sz w:val="24"/>
          <w:szCs w:val="24"/>
        </w:rPr>
      </w:pPr>
    </w:p>
    <w:p>
      <w:pPr>
        <w:pStyle w:val="18"/>
        <w:spacing w:line="360" w:lineRule="auto"/>
        <w:jc w:val="center"/>
        <w:rPr>
          <w:rFonts w:hint="eastAsia" w:ascii="宋体" w:hAnsi="宋体" w:eastAsia="宋体" w:cs="宋体"/>
          <w:b/>
          <w:sz w:val="24"/>
          <w:szCs w:val="24"/>
        </w:rPr>
      </w:pPr>
    </w:p>
    <w:p>
      <w:pPr>
        <w:pStyle w:val="18"/>
        <w:spacing w:line="360" w:lineRule="auto"/>
        <w:jc w:val="center"/>
        <w:rPr>
          <w:rFonts w:hint="eastAsia" w:ascii="宋体" w:hAnsi="宋体" w:eastAsia="宋体" w:cs="宋体"/>
          <w:b/>
          <w:sz w:val="24"/>
          <w:szCs w:val="24"/>
        </w:rPr>
      </w:pPr>
    </w:p>
    <w:p>
      <w:pPr>
        <w:pStyle w:val="18"/>
        <w:spacing w:line="360" w:lineRule="auto"/>
        <w:jc w:val="center"/>
        <w:rPr>
          <w:rFonts w:hint="eastAsia" w:ascii="宋体" w:hAnsi="宋体" w:eastAsia="宋体" w:cs="宋体"/>
          <w:b/>
          <w:sz w:val="24"/>
          <w:szCs w:val="24"/>
        </w:rPr>
      </w:pPr>
    </w:p>
    <w:p>
      <w:pPr>
        <w:pStyle w:val="18"/>
        <w:spacing w:line="360" w:lineRule="auto"/>
        <w:jc w:val="center"/>
        <w:rPr>
          <w:rFonts w:hint="eastAsia" w:ascii="宋体" w:hAnsi="宋体" w:eastAsia="宋体" w:cs="宋体"/>
          <w:b/>
          <w:sz w:val="24"/>
          <w:szCs w:val="24"/>
        </w:rPr>
      </w:pPr>
    </w:p>
    <w:p>
      <w:pPr>
        <w:pStyle w:val="18"/>
        <w:spacing w:line="360" w:lineRule="auto"/>
        <w:jc w:val="center"/>
        <w:rPr>
          <w:rFonts w:hint="eastAsia" w:ascii="宋体" w:hAnsi="宋体" w:eastAsia="宋体" w:cs="宋体"/>
          <w:b/>
          <w:sz w:val="24"/>
          <w:szCs w:val="24"/>
        </w:rPr>
      </w:pPr>
    </w:p>
    <w:p>
      <w:pPr>
        <w:pStyle w:val="18"/>
        <w:spacing w:line="360" w:lineRule="auto"/>
        <w:jc w:val="center"/>
        <w:rPr>
          <w:rFonts w:hint="eastAsia" w:ascii="宋体" w:hAnsi="宋体" w:eastAsia="宋体" w:cs="宋体"/>
          <w:bCs/>
          <w:sz w:val="24"/>
          <w:szCs w:val="24"/>
        </w:rPr>
      </w:pPr>
      <w:r>
        <w:rPr>
          <w:rFonts w:hint="eastAsia" w:ascii="宋体" w:hAnsi="宋体" w:eastAsia="宋体" w:cs="宋体"/>
          <w:b/>
          <w:sz w:val="24"/>
          <w:szCs w:val="24"/>
        </w:rPr>
        <w:t>主要器件品牌表（可选同等或更优质量品牌）</w:t>
      </w:r>
    </w:p>
    <w:tbl>
      <w:tblPr>
        <w:tblStyle w:val="37"/>
        <w:tblW w:w="904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6"/>
        <w:gridCol w:w="2647"/>
        <w:gridCol w:w="3941"/>
        <w:gridCol w:w="17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5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Style w:val="139"/>
                <w:rFonts w:hint="eastAsia" w:ascii="宋体" w:hAnsi="宋体" w:eastAsia="宋体" w:cs="宋体"/>
                <w:lang w:val="en-US" w:eastAsia="zh-CN" w:bidi="ar"/>
              </w:rPr>
              <w:t>序号</w:t>
            </w:r>
          </w:p>
        </w:tc>
        <w:tc>
          <w:tcPr>
            <w:tcW w:w="2647" w:type="dxa"/>
            <w:tcBorders>
              <w:top w:val="single" w:color="000000" w:sz="8" w:space="0"/>
              <w:left w:val="nil"/>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Style w:val="139"/>
                <w:rFonts w:hint="eastAsia" w:ascii="宋体" w:hAnsi="宋体" w:eastAsia="宋体" w:cs="宋体"/>
                <w:lang w:val="en-US" w:eastAsia="zh-CN" w:bidi="ar"/>
              </w:rPr>
              <w:t>名称</w:t>
            </w:r>
          </w:p>
        </w:tc>
        <w:tc>
          <w:tcPr>
            <w:tcW w:w="3941" w:type="dxa"/>
            <w:tcBorders>
              <w:top w:val="single" w:color="000000" w:sz="8" w:space="0"/>
              <w:left w:val="nil"/>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Style w:val="139"/>
                <w:rFonts w:hint="eastAsia" w:ascii="宋体" w:hAnsi="宋体" w:eastAsia="宋体" w:cs="宋体"/>
                <w:lang w:val="en-US" w:eastAsia="zh-CN" w:bidi="ar"/>
              </w:rPr>
              <w:t>品牌</w:t>
            </w:r>
          </w:p>
        </w:tc>
        <w:tc>
          <w:tcPr>
            <w:tcW w:w="1798" w:type="dxa"/>
            <w:tcBorders>
              <w:top w:val="single" w:color="000000" w:sz="8" w:space="0"/>
              <w:left w:val="nil"/>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Style w:val="139"/>
                <w:rFonts w:hint="eastAsia" w:ascii="宋体" w:hAnsi="宋体" w:eastAsia="宋体" w:cs="宋体"/>
                <w:lang w:val="en-US" w:eastAsia="zh-CN" w:bidi="ar"/>
              </w:rPr>
              <w:t>型号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电气柜</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RITAL</w:t>
            </w:r>
            <w:r>
              <w:rPr>
                <w:rStyle w:val="140"/>
                <w:rFonts w:hint="eastAsia" w:ascii="宋体" w:hAnsi="宋体" w:eastAsia="宋体" w:cs="宋体"/>
                <w:lang w:val="en-US" w:eastAsia="zh-CN" w:bidi="ar"/>
              </w:rPr>
              <w:t>或同等品牌</w:t>
            </w:r>
          </w:p>
        </w:tc>
        <w:tc>
          <w:tcPr>
            <w:tcW w:w="1798"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空调</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RITAL或同等品牌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风冷、蒸发式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PLC</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SIEMENS/OMRON或同等品牌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HMI</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SIEMENS/OMRON或同等品牌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三色柱灯</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SIEMENS/施耐德/邦纳</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交换机</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SIEMENS/赫斯曼/MOXA</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熔断器</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微型断路器</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电机断路器</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接触器</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热继电器</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中间继电器</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安全继电器</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PLIZ/OMRON或同等品牌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伺服电机</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SIEMENS/SEW或同等品牌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伺服驱动</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SIEMENS/SEW或同等品牌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变频器</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SIEMENS/SEW或同等品牌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选择开关</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SIEMENS/Schneider或同等品牌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急停开关</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SIEMENS/Schneider或同等品牌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按钮</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SIEMENS/Schneider或同等品牌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指示灯</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SIEMENS/Schneider或同等品牌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电源插座</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Schneider或同等品牌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端子</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r>
              <w:rPr>
                <w:rStyle w:val="140"/>
                <w:rFonts w:hint="eastAsia" w:ascii="宋体" w:hAnsi="宋体" w:eastAsia="宋体" w:cs="宋体"/>
                <w:lang w:val="en-US" w:eastAsia="zh-CN" w:bidi="ar"/>
              </w:rPr>
              <w:t>PHOENIX/WEIDMULLER/或同等品牌</w:t>
            </w:r>
          </w:p>
        </w:tc>
        <w:tc>
          <w:tcPr>
            <w:tcW w:w="179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Style w:val="140"/>
                <w:rFonts w:hint="eastAsia" w:ascii="宋体" w:hAnsi="宋体" w:eastAsia="宋体" w:cs="宋体"/>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安全门锁</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EUCHNER/OMRON或同等品牌</w:t>
            </w:r>
          </w:p>
        </w:tc>
        <w:tc>
          <w:tcPr>
            <w:tcW w:w="1798"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安全光栅</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SICK/Leuze或同等品牌</w:t>
            </w:r>
          </w:p>
        </w:tc>
        <w:tc>
          <w:tcPr>
            <w:tcW w:w="1798"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工位照明</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飞利浦</w:t>
            </w:r>
            <w:r>
              <w:rPr>
                <w:rStyle w:val="140"/>
                <w:rFonts w:hint="eastAsia" w:ascii="宋体" w:hAnsi="宋体" w:eastAsia="宋体" w:cs="宋体"/>
                <w:lang w:val="en-US" w:eastAsia="zh-CN" w:bidi="ar"/>
              </w:rPr>
              <w:t>或同等品牌</w:t>
            </w:r>
          </w:p>
        </w:tc>
        <w:tc>
          <w:tcPr>
            <w:tcW w:w="1798"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传感器接插线</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41"/>
                <w:rFonts w:hint="eastAsia" w:ascii="宋体" w:hAnsi="宋体" w:eastAsia="宋体" w:cs="宋体"/>
                <w:lang w:val="en-US" w:eastAsia="zh-CN" w:bidi="ar"/>
              </w:rPr>
              <w:t>Balluff</w:t>
            </w:r>
            <w:r>
              <w:rPr>
                <w:rStyle w:val="140"/>
                <w:rFonts w:hint="eastAsia" w:ascii="宋体" w:hAnsi="宋体" w:eastAsia="宋体" w:cs="宋体"/>
                <w:lang w:val="en-US" w:eastAsia="zh-CN" w:bidi="ar"/>
              </w:rPr>
              <w:t>或</w:t>
            </w:r>
            <w:r>
              <w:rPr>
                <w:rStyle w:val="141"/>
                <w:rFonts w:hint="eastAsia" w:ascii="宋体" w:hAnsi="宋体" w:eastAsia="宋体" w:cs="宋体"/>
                <w:lang w:val="en-US" w:eastAsia="zh-CN" w:bidi="ar"/>
              </w:rPr>
              <w:t>TRUCK</w:t>
            </w:r>
          </w:p>
        </w:tc>
        <w:tc>
          <w:tcPr>
            <w:tcW w:w="1798"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电线电缆</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COLAN</w:t>
            </w:r>
            <w:r>
              <w:rPr>
                <w:rStyle w:val="140"/>
                <w:rFonts w:hint="eastAsia" w:ascii="宋体" w:hAnsi="宋体" w:eastAsia="宋体" w:cs="宋体"/>
                <w:lang w:val="en-US" w:eastAsia="zh-CN" w:bidi="ar"/>
              </w:rPr>
              <w:t>或同等品牌</w:t>
            </w:r>
          </w:p>
        </w:tc>
        <w:tc>
          <w:tcPr>
            <w:tcW w:w="1798"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HMI</w:t>
            </w:r>
            <w:r>
              <w:rPr>
                <w:rStyle w:val="140"/>
                <w:rFonts w:hint="eastAsia" w:ascii="宋体" w:hAnsi="宋体" w:eastAsia="宋体" w:cs="宋体"/>
                <w:lang w:val="en-US" w:eastAsia="zh-CN" w:bidi="ar"/>
              </w:rPr>
              <w:t>悬臂</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RITAL</w:t>
            </w:r>
            <w:r>
              <w:rPr>
                <w:rStyle w:val="140"/>
                <w:rFonts w:hint="eastAsia" w:ascii="宋体" w:hAnsi="宋体" w:eastAsia="宋体" w:cs="宋体"/>
                <w:lang w:val="en-US" w:eastAsia="zh-CN" w:bidi="ar"/>
              </w:rPr>
              <w:t>或同等品牌</w:t>
            </w:r>
          </w:p>
        </w:tc>
        <w:tc>
          <w:tcPr>
            <w:tcW w:w="1798"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2647"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HMI</w:t>
            </w:r>
            <w:r>
              <w:rPr>
                <w:rStyle w:val="140"/>
                <w:rFonts w:hint="eastAsia" w:ascii="宋体" w:hAnsi="宋体" w:eastAsia="宋体" w:cs="宋体"/>
                <w:lang w:val="en-US" w:eastAsia="zh-CN" w:bidi="ar"/>
              </w:rPr>
              <w:t>柜子</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RITAL</w:t>
            </w:r>
            <w:r>
              <w:rPr>
                <w:rStyle w:val="140"/>
                <w:rFonts w:hint="eastAsia" w:ascii="宋体" w:hAnsi="宋体" w:eastAsia="宋体" w:cs="宋体"/>
                <w:lang w:val="en-US" w:eastAsia="zh-CN" w:bidi="ar"/>
              </w:rPr>
              <w:t>或同等品牌</w:t>
            </w:r>
          </w:p>
        </w:tc>
        <w:tc>
          <w:tcPr>
            <w:tcW w:w="1798"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预制线（</w:t>
            </w:r>
            <w:r>
              <w:rPr>
                <w:rFonts w:hint="eastAsia" w:ascii="宋体" w:hAnsi="宋体" w:eastAsia="宋体" w:cs="宋体"/>
                <w:i w:val="0"/>
                <w:iCs w:val="0"/>
                <w:color w:val="000000"/>
                <w:kern w:val="0"/>
                <w:sz w:val="22"/>
                <w:szCs w:val="22"/>
                <w:u w:val="none"/>
                <w:lang w:val="en-US" w:eastAsia="zh-CN" w:bidi="ar"/>
              </w:rPr>
              <w:t>profinet</w:t>
            </w:r>
            <w:r>
              <w:rPr>
                <w:rStyle w:val="140"/>
                <w:rFonts w:hint="eastAsia" w:ascii="宋体" w:hAnsi="宋体" w:eastAsia="宋体" w:cs="宋体"/>
                <w:lang w:val="en-US" w:eastAsia="zh-CN" w:bidi="ar"/>
              </w:rPr>
              <w:t>接插线）</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MURR/SIEMENS或同等品牌</w:t>
            </w:r>
          </w:p>
        </w:tc>
        <w:tc>
          <w:tcPr>
            <w:tcW w:w="1798"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2647"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profinet </w:t>
            </w:r>
            <w:r>
              <w:rPr>
                <w:rStyle w:val="140"/>
                <w:rFonts w:hint="eastAsia" w:ascii="宋体" w:hAnsi="宋体" w:eastAsia="宋体" w:cs="宋体"/>
                <w:lang w:val="en-US" w:eastAsia="zh-CN" w:bidi="ar"/>
              </w:rPr>
              <w:t>电缆</w:t>
            </w:r>
            <w:r>
              <w:rPr>
                <w:rFonts w:hint="eastAsia" w:ascii="宋体" w:hAnsi="宋体" w:eastAsia="宋体" w:cs="宋体"/>
                <w:i w:val="0"/>
                <w:iCs w:val="0"/>
                <w:color w:val="000000"/>
                <w:kern w:val="0"/>
                <w:sz w:val="22"/>
                <w:szCs w:val="22"/>
                <w:u w:val="none"/>
                <w:lang w:val="en-US" w:eastAsia="zh-CN" w:bidi="ar"/>
              </w:rPr>
              <w:t>(</w:t>
            </w:r>
            <w:r>
              <w:rPr>
                <w:rStyle w:val="140"/>
                <w:rFonts w:hint="eastAsia" w:ascii="宋体" w:hAnsi="宋体" w:eastAsia="宋体" w:cs="宋体"/>
                <w:lang w:val="en-US" w:eastAsia="zh-CN" w:bidi="ar"/>
              </w:rPr>
              <w:t>非预铸线</w:t>
            </w:r>
            <w:r>
              <w:rPr>
                <w:rFonts w:hint="eastAsia" w:ascii="宋体" w:hAnsi="宋体" w:eastAsia="宋体" w:cs="宋体"/>
                <w:i w:val="0"/>
                <w:iCs w:val="0"/>
                <w:color w:val="000000"/>
                <w:kern w:val="0"/>
                <w:sz w:val="22"/>
                <w:szCs w:val="22"/>
                <w:u w:val="none"/>
                <w:lang w:val="en-US" w:eastAsia="zh-CN" w:bidi="ar"/>
              </w:rPr>
              <w:t>)</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SIEMENS或同等品牌</w:t>
            </w:r>
          </w:p>
        </w:tc>
        <w:tc>
          <w:tcPr>
            <w:tcW w:w="1798"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2647"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智能电流分配器</w:t>
            </w:r>
          </w:p>
        </w:tc>
        <w:tc>
          <w:tcPr>
            <w:tcW w:w="3941"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MURR/</w:t>
            </w:r>
            <w:r>
              <w:rPr>
                <w:rStyle w:val="140"/>
                <w:rFonts w:hint="eastAsia" w:ascii="宋体" w:hAnsi="宋体" w:eastAsia="宋体" w:cs="宋体"/>
                <w:lang w:val="en-US" w:eastAsia="zh-CN" w:bidi="ar"/>
              </w:rPr>
              <w:t>普尔士或同等品牌</w:t>
            </w:r>
          </w:p>
        </w:tc>
        <w:tc>
          <w:tcPr>
            <w:tcW w:w="1798"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2647"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四孔按钮</w:t>
            </w:r>
            <w:r>
              <w:rPr>
                <w:rFonts w:hint="eastAsia" w:ascii="宋体" w:hAnsi="宋体" w:eastAsia="宋体" w:cs="宋体"/>
                <w:i w:val="0"/>
                <w:iCs w:val="0"/>
                <w:color w:val="000000"/>
                <w:kern w:val="0"/>
                <w:sz w:val="22"/>
                <w:szCs w:val="22"/>
                <w:u w:val="none"/>
                <w:lang w:val="en-US" w:eastAsia="zh-CN" w:bidi="ar"/>
              </w:rPr>
              <w:t>+</w:t>
            </w:r>
            <w:r>
              <w:rPr>
                <w:rStyle w:val="140"/>
                <w:rFonts w:hint="eastAsia" w:ascii="宋体" w:hAnsi="宋体" w:eastAsia="宋体" w:cs="宋体"/>
                <w:lang w:val="en-US" w:eastAsia="zh-CN" w:bidi="ar"/>
              </w:rPr>
              <w:t>急停</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SIEMENS</w:t>
            </w:r>
            <w:r>
              <w:rPr>
                <w:rStyle w:val="141"/>
                <w:rFonts w:hint="eastAsia" w:ascii="宋体" w:hAnsi="宋体" w:eastAsia="宋体" w:cs="宋体"/>
                <w:lang w:val="en-US" w:eastAsia="zh-CN" w:bidi="ar"/>
              </w:rPr>
              <w:t>/Schneider</w:t>
            </w:r>
            <w:r>
              <w:rPr>
                <w:rFonts w:hint="eastAsia" w:ascii="宋体" w:hAnsi="宋体" w:eastAsia="宋体" w:cs="宋体"/>
                <w:i w:val="0"/>
                <w:iCs w:val="0"/>
                <w:color w:val="000000"/>
                <w:kern w:val="0"/>
                <w:sz w:val="22"/>
                <w:szCs w:val="22"/>
                <w:u w:val="none"/>
                <w:lang w:val="en-US" w:eastAsia="zh-CN" w:bidi="ar"/>
              </w:rPr>
              <w:t>或同等品牌</w:t>
            </w:r>
          </w:p>
        </w:tc>
        <w:tc>
          <w:tcPr>
            <w:tcW w:w="1798"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2647"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电缆标签</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MURR或同等品牌</w:t>
            </w:r>
          </w:p>
        </w:tc>
        <w:tc>
          <w:tcPr>
            <w:tcW w:w="1798"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26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前置面板接口套件</w:t>
            </w:r>
          </w:p>
        </w:tc>
        <w:tc>
          <w:tcPr>
            <w:tcW w:w="3941"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MURR或同等品牌</w:t>
            </w:r>
          </w:p>
        </w:tc>
        <w:tc>
          <w:tcPr>
            <w:tcW w:w="17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2647"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接近开关</w:t>
            </w:r>
          </w:p>
        </w:tc>
        <w:tc>
          <w:tcPr>
            <w:tcW w:w="3941"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BALUFF或同等品牌</w:t>
            </w:r>
          </w:p>
        </w:tc>
        <w:tc>
          <w:tcPr>
            <w:tcW w:w="1798"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2647"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光电开关</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BALUFF或同等品牌</w:t>
            </w:r>
          </w:p>
        </w:tc>
        <w:tc>
          <w:tcPr>
            <w:tcW w:w="1798"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气动元件</w:t>
            </w:r>
          </w:p>
        </w:tc>
        <w:tc>
          <w:tcPr>
            <w:tcW w:w="3941"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FESTO/SMC或同等品牌</w:t>
            </w:r>
          </w:p>
        </w:tc>
        <w:tc>
          <w:tcPr>
            <w:tcW w:w="1798"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2647"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拖链</w:t>
            </w:r>
          </w:p>
        </w:tc>
        <w:tc>
          <w:tcPr>
            <w:tcW w:w="3941"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Igus或同等品牌</w:t>
            </w:r>
          </w:p>
        </w:tc>
        <w:tc>
          <w:tcPr>
            <w:tcW w:w="1798"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142"/>
                <w:rFonts w:hint="eastAsia" w:ascii="宋体" w:hAnsi="宋体" w:eastAsia="宋体" w:cs="宋体"/>
                <w:lang w:val="en-US" w:eastAsia="zh-CN" w:bidi="ar"/>
              </w:rPr>
              <w:t>直线轴承</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143"/>
                <w:rFonts w:hint="eastAsia" w:ascii="宋体" w:hAnsi="宋体" w:eastAsia="宋体" w:cs="宋体"/>
                <w:lang w:val="en-US" w:eastAsia="zh-CN" w:bidi="ar"/>
              </w:rPr>
              <w:t>THK</w:t>
            </w:r>
            <w:r>
              <w:rPr>
                <w:rStyle w:val="140"/>
                <w:rFonts w:hint="eastAsia" w:ascii="宋体" w:hAnsi="宋体" w:eastAsia="宋体" w:cs="宋体"/>
                <w:lang w:val="en-US" w:eastAsia="zh-CN" w:bidi="ar"/>
              </w:rPr>
              <w:t>或同等品牌</w:t>
            </w:r>
          </w:p>
        </w:tc>
        <w:tc>
          <w:tcPr>
            <w:tcW w:w="1798"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142"/>
                <w:rFonts w:hint="eastAsia" w:ascii="宋体" w:hAnsi="宋体" w:eastAsia="宋体" w:cs="宋体"/>
                <w:lang w:val="en-US" w:eastAsia="zh-CN" w:bidi="ar"/>
              </w:rPr>
              <w:t>直线导轨</w:t>
            </w:r>
            <w:r>
              <w:rPr>
                <w:rStyle w:val="143"/>
                <w:rFonts w:hint="eastAsia" w:ascii="宋体" w:hAnsi="宋体" w:eastAsia="宋体" w:cs="宋体"/>
                <w:lang w:val="en-US" w:eastAsia="zh-CN" w:bidi="ar"/>
              </w:rPr>
              <w:t xml:space="preserve">, </w:t>
            </w:r>
            <w:r>
              <w:rPr>
                <w:rStyle w:val="142"/>
                <w:rFonts w:hint="eastAsia" w:ascii="宋体" w:hAnsi="宋体" w:eastAsia="宋体" w:cs="宋体"/>
                <w:lang w:val="en-US" w:eastAsia="zh-CN" w:bidi="ar"/>
              </w:rPr>
              <w:t>滚珠丝杠</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143"/>
                <w:rFonts w:hint="eastAsia" w:ascii="宋体" w:hAnsi="宋体" w:eastAsia="宋体" w:cs="宋体"/>
                <w:lang w:val="en-US" w:eastAsia="zh-CN" w:bidi="ar"/>
              </w:rPr>
              <w:t>THK</w:t>
            </w:r>
            <w:r>
              <w:rPr>
                <w:rStyle w:val="140"/>
                <w:rFonts w:hint="eastAsia" w:ascii="宋体" w:hAnsi="宋体" w:eastAsia="宋体" w:cs="宋体"/>
                <w:lang w:val="en-US" w:eastAsia="zh-CN" w:bidi="ar"/>
              </w:rPr>
              <w:t>或同等品牌</w:t>
            </w:r>
          </w:p>
        </w:tc>
        <w:tc>
          <w:tcPr>
            <w:tcW w:w="1798"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142"/>
                <w:rFonts w:hint="eastAsia" w:ascii="宋体" w:hAnsi="宋体" w:eastAsia="宋体" w:cs="宋体"/>
                <w:lang w:val="en-US" w:eastAsia="zh-CN" w:bidi="ar"/>
              </w:rPr>
              <w:t>润滑系统</w:t>
            </w:r>
            <w:r>
              <w:rPr>
                <w:rStyle w:val="143"/>
                <w:rFonts w:hint="eastAsia" w:ascii="宋体" w:hAnsi="宋体" w:eastAsia="宋体" w:cs="宋体"/>
                <w:lang w:val="en-US" w:eastAsia="zh-CN" w:bidi="ar"/>
              </w:rPr>
              <w:t>/</w:t>
            </w:r>
            <w:r>
              <w:rPr>
                <w:rStyle w:val="142"/>
                <w:rFonts w:hint="eastAsia" w:ascii="宋体" w:hAnsi="宋体" w:eastAsia="宋体" w:cs="宋体"/>
                <w:lang w:val="en-US" w:eastAsia="zh-CN" w:bidi="ar"/>
              </w:rPr>
              <w:t>涂油脂装置</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SKF/VOGEL</w:t>
            </w:r>
            <w:r>
              <w:rPr>
                <w:rStyle w:val="144"/>
                <w:rFonts w:hint="eastAsia" w:ascii="宋体" w:hAnsi="宋体" w:eastAsia="宋体" w:cs="宋体"/>
                <w:lang w:val="en-US" w:eastAsia="zh-CN" w:bidi="ar"/>
              </w:rPr>
              <w:t>或同等品牌</w:t>
            </w:r>
          </w:p>
        </w:tc>
        <w:tc>
          <w:tcPr>
            <w:tcW w:w="1798"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26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142"/>
                <w:rFonts w:hint="eastAsia" w:ascii="宋体" w:hAnsi="宋体" w:eastAsia="宋体" w:cs="宋体"/>
                <w:lang w:val="en-US" w:eastAsia="zh-CN" w:bidi="ar"/>
              </w:rPr>
              <w:t>关键部件轴承</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143"/>
                <w:rFonts w:hint="eastAsia" w:ascii="宋体" w:hAnsi="宋体" w:eastAsia="宋体" w:cs="宋体"/>
                <w:lang w:val="en-US" w:eastAsia="zh-CN" w:bidi="ar"/>
              </w:rPr>
              <w:t>SKF</w:t>
            </w:r>
            <w:r>
              <w:rPr>
                <w:rStyle w:val="140"/>
                <w:rFonts w:hint="eastAsia" w:ascii="宋体" w:hAnsi="宋体" w:eastAsia="宋体" w:cs="宋体"/>
                <w:lang w:val="en-US" w:eastAsia="zh-CN" w:bidi="ar"/>
              </w:rPr>
              <w:t>或同等品牌</w:t>
            </w:r>
          </w:p>
        </w:tc>
        <w:tc>
          <w:tcPr>
            <w:tcW w:w="1798"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2647"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液压元件</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Parker</w:t>
            </w:r>
            <w:r>
              <w:rPr>
                <w:rStyle w:val="140"/>
                <w:rFonts w:hint="eastAsia" w:ascii="宋体" w:hAnsi="宋体" w:eastAsia="宋体" w:cs="宋体"/>
                <w:lang w:val="en-US" w:eastAsia="zh-CN" w:bidi="ar"/>
              </w:rPr>
              <w:t>或同等品牌</w:t>
            </w:r>
          </w:p>
        </w:tc>
        <w:tc>
          <w:tcPr>
            <w:tcW w:w="1798"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2647"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电机</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SEW或同等品牌</w:t>
            </w:r>
          </w:p>
        </w:tc>
        <w:tc>
          <w:tcPr>
            <w:tcW w:w="1798"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2647"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智能平衡吊</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意德维/</w:t>
            </w:r>
            <w:r>
              <w:rPr>
                <w:rStyle w:val="140"/>
                <w:rFonts w:hint="eastAsia" w:ascii="宋体" w:hAnsi="宋体" w:eastAsia="宋体" w:cs="宋体"/>
                <w:lang w:val="en-US" w:eastAsia="zh-CN" w:bidi="ar"/>
              </w:rPr>
              <w:t>高博或同等品牌</w:t>
            </w:r>
          </w:p>
        </w:tc>
        <w:tc>
          <w:tcPr>
            <w:tcW w:w="1798"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2647" w:type="dxa"/>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Style w:val="140"/>
                <w:rFonts w:hint="eastAsia" w:ascii="宋体" w:hAnsi="宋体" w:eastAsia="宋体" w:cs="宋体"/>
                <w:lang w:val="en-US" w:eastAsia="zh-CN" w:bidi="ar"/>
              </w:rPr>
              <w:t>铝型材</w:t>
            </w:r>
            <w:r>
              <w:rPr>
                <w:rFonts w:hint="eastAsia" w:ascii="宋体" w:hAnsi="宋体" w:eastAsia="宋体" w:cs="宋体"/>
                <w:i w:val="0"/>
                <w:iCs w:val="0"/>
                <w:color w:val="000000"/>
                <w:kern w:val="0"/>
                <w:sz w:val="22"/>
                <w:szCs w:val="22"/>
                <w:u w:val="none"/>
                <w:lang w:val="en-US" w:eastAsia="zh-CN" w:bidi="ar"/>
              </w:rPr>
              <w:t>KBK</w:t>
            </w:r>
            <w:r>
              <w:rPr>
                <w:rStyle w:val="140"/>
                <w:rFonts w:hint="eastAsia" w:ascii="宋体" w:hAnsi="宋体" w:eastAsia="宋体" w:cs="宋体"/>
                <w:lang w:val="en-US" w:eastAsia="zh-CN" w:bidi="ar"/>
              </w:rPr>
              <w:t>轨道</w:t>
            </w:r>
          </w:p>
        </w:tc>
        <w:tc>
          <w:tcPr>
            <w:tcW w:w="394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Eepos</w:t>
            </w:r>
            <w:r>
              <w:rPr>
                <w:rStyle w:val="140"/>
                <w:rFonts w:hint="eastAsia" w:ascii="宋体" w:hAnsi="宋体" w:eastAsia="宋体" w:cs="宋体"/>
                <w:lang w:val="en-US" w:eastAsia="zh-CN" w:bidi="ar"/>
              </w:rPr>
              <w:t>或同等品牌</w:t>
            </w:r>
          </w:p>
        </w:tc>
        <w:tc>
          <w:tcPr>
            <w:tcW w:w="1798"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48</w:t>
            </w:r>
          </w:p>
        </w:tc>
        <w:tc>
          <w:tcPr>
            <w:tcW w:w="2647" w:type="dxa"/>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供胶系统</w:t>
            </w:r>
          </w:p>
        </w:tc>
        <w:tc>
          <w:tcPr>
            <w:tcW w:w="394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GRACO/DURR/SCA/ATN</w:t>
            </w:r>
          </w:p>
        </w:tc>
        <w:tc>
          <w:tcPr>
            <w:tcW w:w="1798" w:type="dxa"/>
            <w:tcBorders>
              <w:top w:val="single" w:color="000000" w:sz="8" w:space="0"/>
              <w:left w:val="single" w:color="000000" w:sz="8" w:space="0"/>
              <w:bottom w:val="single" w:color="000000" w:sz="8" w:space="0"/>
              <w:right w:val="single" w:color="000000" w:sz="8" w:space="0"/>
            </w:tcBorders>
            <w:shd w:val="clear" w:color="auto" w:fill="auto"/>
            <w:noWrap/>
            <w:vAlign w:val="bottom"/>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49</w:t>
            </w:r>
          </w:p>
        </w:tc>
        <w:tc>
          <w:tcPr>
            <w:tcW w:w="2647" w:type="dxa"/>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胶型检测</w:t>
            </w:r>
          </w:p>
        </w:tc>
        <w:tc>
          <w:tcPr>
            <w:tcW w:w="394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VMT/ISRA/I</w:t>
            </w:r>
            <w:r>
              <w:rPr>
                <w:rStyle w:val="140"/>
                <w:rFonts w:hint="eastAsia" w:ascii="宋体" w:hAnsi="宋体" w:eastAsia="宋体" w:cs="宋体"/>
                <w:lang w:val="en-US" w:eastAsia="zh-CN" w:bidi="ar"/>
              </w:rPr>
              <w:t>SV</w:t>
            </w:r>
          </w:p>
        </w:tc>
        <w:tc>
          <w:tcPr>
            <w:tcW w:w="1798" w:type="dxa"/>
            <w:tcBorders>
              <w:top w:val="single" w:color="000000" w:sz="8" w:space="0"/>
              <w:left w:val="single" w:color="000000" w:sz="8" w:space="0"/>
              <w:bottom w:val="single" w:color="000000" w:sz="8" w:space="0"/>
              <w:right w:val="single" w:color="000000" w:sz="8" w:space="0"/>
            </w:tcBorders>
            <w:shd w:val="clear" w:color="auto" w:fill="auto"/>
            <w:noWrap/>
            <w:vAlign w:val="bottom"/>
          </w:tcPr>
          <w:p>
            <w:pPr>
              <w:jc w:val="center"/>
              <w:rPr>
                <w:rFonts w:hint="eastAsia" w:ascii="宋体" w:hAnsi="宋体" w:eastAsia="宋体" w:cs="宋体"/>
                <w:i w:val="0"/>
                <w:iCs w:val="0"/>
                <w:color w:val="000000"/>
                <w:sz w:val="22"/>
                <w:szCs w:val="22"/>
                <w:u w:val="none"/>
              </w:rPr>
            </w:pPr>
          </w:p>
        </w:tc>
      </w:tr>
    </w:tbl>
    <w:p>
      <w:pPr>
        <w:spacing w:line="360" w:lineRule="auto"/>
        <w:ind w:firstLine="480" w:firstLineChars="200"/>
        <w:rPr>
          <w:rFonts w:hint="eastAsia" w:ascii="宋体" w:hAnsi="宋体" w:eastAsia="宋体" w:cs="宋体"/>
          <w:sz w:val="24"/>
          <w:szCs w:val="24"/>
          <w:lang w:bidi="ar"/>
        </w:rPr>
      </w:pPr>
    </w:p>
    <w:p>
      <w:pPr>
        <w:spacing w:line="360" w:lineRule="auto"/>
        <w:ind w:firstLine="480" w:firstLineChars="200"/>
        <w:rPr>
          <w:rFonts w:hint="eastAsia" w:ascii="宋体" w:hAnsi="宋体" w:eastAsia="宋体" w:cs="宋体"/>
          <w:sz w:val="24"/>
          <w:szCs w:val="24"/>
          <w:lang w:bidi="ar"/>
        </w:rPr>
      </w:pPr>
      <w:r>
        <w:rPr>
          <w:rFonts w:hint="eastAsia" w:ascii="宋体" w:hAnsi="宋体" w:eastAsia="宋体" w:cs="宋体"/>
          <w:sz w:val="24"/>
          <w:szCs w:val="24"/>
          <w:lang w:bidi="ar"/>
        </w:rPr>
        <w:t>四、采购货物特别说明</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招标方所列货物的名称和规格型号，如为某一供应商所特有，则该名称和规格型号可作参考；但要求投标方所提供的货物必须满足本技术标书实质性要求。</w:t>
      </w:r>
      <w:r>
        <w:rPr>
          <w:rFonts w:hint="eastAsia" w:ascii="宋体" w:hAnsi="宋体" w:eastAsia="宋体" w:cs="宋体"/>
          <w:bCs/>
          <w:sz w:val="24"/>
          <w:szCs w:val="24"/>
        </w:rPr>
        <w:br w:type="page"/>
      </w:r>
    </w:p>
    <w:p>
      <w:pPr>
        <w:pStyle w:val="4"/>
        <w:widowControl/>
        <w:spacing w:before="120" w:after="120"/>
        <w:jc w:val="center"/>
        <w:rPr>
          <w:rFonts w:hint="eastAsia" w:ascii="宋体" w:hAnsi="宋体" w:eastAsia="宋体" w:cs="宋体"/>
          <w:b/>
          <w:bCs w:val="0"/>
          <w:szCs w:val="24"/>
        </w:rPr>
      </w:pPr>
      <w:bookmarkStart w:id="35" w:name="_Toc169605880"/>
      <w:r>
        <w:rPr>
          <w:rFonts w:hint="eastAsia" w:ascii="宋体" w:hAnsi="宋体" w:eastAsia="宋体" w:cs="宋体"/>
          <w:b/>
          <w:bCs w:val="0"/>
          <w:szCs w:val="24"/>
        </w:rPr>
        <w:t>第二章</w:t>
      </w:r>
      <w:r>
        <w:rPr>
          <w:rFonts w:hint="eastAsia" w:ascii="宋体" w:hAnsi="宋体" w:eastAsia="宋体" w:cs="宋体"/>
          <w:b/>
          <w:bCs w:val="0"/>
          <w:szCs w:val="24"/>
          <w:lang w:val="en-US" w:eastAsia="zh-CN"/>
        </w:rPr>
        <w:t xml:space="preserve">  </w:t>
      </w:r>
      <w:r>
        <w:rPr>
          <w:rFonts w:hint="eastAsia" w:ascii="宋体" w:hAnsi="宋体" w:cs="宋体"/>
          <w:b/>
          <w:bCs w:val="0"/>
          <w:szCs w:val="24"/>
          <w:lang w:val="en-US" w:eastAsia="zh-CN"/>
        </w:rPr>
        <w:t>专用</w:t>
      </w:r>
      <w:r>
        <w:rPr>
          <w:rFonts w:hint="eastAsia" w:ascii="宋体" w:hAnsi="宋体" w:eastAsia="宋体" w:cs="宋体"/>
          <w:b/>
          <w:bCs w:val="0"/>
          <w:szCs w:val="24"/>
        </w:rPr>
        <w:t>技术要求</w:t>
      </w:r>
      <w:bookmarkEnd w:id="35"/>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一、特别提示</w:t>
      </w:r>
    </w:p>
    <w:p>
      <w:pPr>
        <w:keepNext w:val="0"/>
        <w:keepLines w:val="0"/>
        <w:pageBreakBefore w:val="0"/>
        <w:widowControl w:val="0"/>
        <w:kinsoku/>
        <w:wordWrap/>
        <w:overflowPunct/>
        <w:topLinePunct w:val="0"/>
        <w:autoSpaceDE/>
        <w:autoSpaceDN/>
        <w:bidi w:val="0"/>
        <w:adjustRightInd/>
        <w:snapToGrid/>
        <w:spacing w:before="146" w:beforeLines="50"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    1.本章技术要求，仅对功能、设计、结构、性能、安装和试验检验等方面，提出了最低和一般性的技术要求，并未对一切技术细节作出规定。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7、投标文件中，针对“特别提示”条款所做的回应，将作为投标方能否中标的重要依据之一。</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二、基本要求</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1.投标人所供的货物，必须符合中国最新版的法律、法规和相关标准、规范的要求，符合项目所在地政府有关特殊要求。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3.投标人应保证所供货物的先进性、可靠性、经济性和实用性，并为全新货物（或设备）。</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4.投标人应满足招标人提出的各项技术要求，必要时应当免费提供技术承诺或担保。</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6.投标人应保证所供货物的完整性和成套性，能保证货物的正常运行、使用。</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7.投标人应对招标人采购的货物所涉及的技术、产能等信息负有保密义务，招标人拥有追究投标人泄密责任的权利；招标人如有需要，投标人应无条件签署保密协议。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8.投标人预验收时需提供进口设备、部件的报关清关资料。</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9.投标人应提供设备的第三方检定校准报告，检定费用含在报价中。</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三、技术要求</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1.项目整体要求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1.1项目范围</w:t>
      </w:r>
    </w:p>
    <w:p>
      <w:pPr>
        <w:numPr>
          <w:ilvl w:val="0"/>
          <w:numId w:val="13"/>
        </w:num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拆除</w:t>
      </w:r>
      <w:r>
        <w:rPr>
          <w:rFonts w:hint="eastAsia" w:ascii="宋体" w:hAnsi="宋体" w:eastAsia="宋体" w:cs="宋体"/>
          <w:sz w:val="24"/>
          <w:szCs w:val="24"/>
          <w:lang w:val="en-US" w:eastAsia="zh-CN"/>
        </w:rPr>
        <w:t>现有自动化工作站的供胶系统（含控制柜）、胶枪</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为新增设备提供空间。</w:t>
      </w:r>
    </w:p>
    <w:p>
      <w:pPr>
        <w:numPr>
          <w:ilvl w:val="0"/>
          <w:numId w:val="0"/>
        </w:numPr>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eastAsia="zh-CN"/>
        </w:rPr>
        <w:t xml:space="preserve">（2）新增四桶四泵双组分供胶系统，胶型检测系统。  </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改造现有玻璃对中台，增加热风机和风管，提高底涂干燥效果。</w:t>
      </w:r>
    </w:p>
    <w:p>
      <w:pPr>
        <w:numPr>
          <w:ilvl w:val="0"/>
          <w:numId w:val="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检修清胶桶，提高出风口压力、调整吹嘴角度等，减少胶嘴残胶。</w:t>
      </w:r>
    </w:p>
    <w:p>
      <w:pPr>
        <w:spacing w:line="360" w:lineRule="auto"/>
        <w:ind w:firstLine="482" w:firstLineChars="200"/>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1.2涉及产品</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在该工位</w:t>
      </w:r>
      <w:r>
        <w:rPr>
          <w:rFonts w:hint="eastAsia" w:ascii="宋体" w:hAnsi="宋体" w:eastAsia="宋体" w:cs="宋体"/>
          <w:sz w:val="24"/>
          <w:szCs w:val="24"/>
          <w:lang w:val="en-US" w:eastAsia="zh-CN"/>
        </w:rPr>
        <w:t>粘接玻璃</w:t>
      </w:r>
      <w:r>
        <w:rPr>
          <w:rFonts w:hint="eastAsia" w:ascii="宋体" w:hAnsi="宋体" w:eastAsia="宋体" w:cs="宋体"/>
          <w:sz w:val="24"/>
          <w:szCs w:val="24"/>
        </w:rPr>
        <w:t>的驾驶室，全部实现自动涂胶</w:t>
      </w:r>
      <w:r>
        <w:rPr>
          <w:rFonts w:hint="eastAsia" w:ascii="宋体" w:hAnsi="宋体" w:eastAsia="宋体" w:cs="宋体"/>
          <w:sz w:val="24"/>
          <w:szCs w:val="24"/>
          <w:lang w:val="en-US" w:eastAsia="zh-CN"/>
        </w:rPr>
        <w:t>粘接。</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驾驶室种类见</w:t>
      </w:r>
      <w:r>
        <w:rPr>
          <w:rFonts w:hint="eastAsia" w:ascii="宋体" w:hAnsi="宋体" w:eastAsia="宋体" w:cs="宋体"/>
          <w:sz w:val="24"/>
          <w:szCs w:val="24"/>
        </w:rPr>
        <w:t>下表</w:t>
      </w:r>
      <w:r>
        <w:rPr>
          <w:rFonts w:hint="eastAsia" w:ascii="宋体" w:hAnsi="宋体" w:eastAsia="宋体" w:cs="宋体"/>
          <w:sz w:val="24"/>
          <w:szCs w:val="24"/>
          <w:lang w:eastAsia="zh-CN"/>
        </w:rPr>
        <w:t>：</w:t>
      </w:r>
    </w:p>
    <w:tbl>
      <w:tblPr>
        <w:tblStyle w:val="37"/>
        <w:tblW w:w="6928" w:type="dxa"/>
        <w:jc w:val="center"/>
        <w:tblLayout w:type="fixed"/>
        <w:tblCellMar>
          <w:top w:w="0" w:type="dxa"/>
          <w:left w:w="108" w:type="dxa"/>
          <w:bottom w:w="0" w:type="dxa"/>
          <w:right w:w="108" w:type="dxa"/>
        </w:tblCellMar>
      </w:tblPr>
      <w:tblGrid>
        <w:gridCol w:w="715"/>
        <w:gridCol w:w="1134"/>
        <w:gridCol w:w="2236"/>
        <w:gridCol w:w="1089"/>
        <w:gridCol w:w="967"/>
        <w:gridCol w:w="787"/>
      </w:tblGrid>
      <w:tr>
        <w:tblPrEx>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序号</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品牌</w:t>
            </w:r>
          </w:p>
        </w:tc>
        <w:tc>
          <w:tcPr>
            <w:tcW w:w="223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驾驶室种类</w:t>
            </w:r>
          </w:p>
        </w:tc>
        <w:tc>
          <w:tcPr>
            <w:tcW w:w="108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长/mm</w:t>
            </w:r>
          </w:p>
        </w:tc>
        <w:tc>
          <w:tcPr>
            <w:tcW w:w="9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宽/mm</w:t>
            </w:r>
          </w:p>
        </w:tc>
        <w:tc>
          <w:tcPr>
            <w:tcW w:w="78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备注</w:t>
            </w:r>
          </w:p>
        </w:tc>
      </w:tr>
      <w:tr>
        <w:tblPrEx>
          <w:tblCellMar>
            <w:top w:w="0" w:type="dxa"/>
            <w:left w:w="108" w:type="dxa"/>
            <w:bottom w:w="0" w:type="dxa"/>
            <w:right w:w="108" w:type="dxa"/>
          </w:tblCellMar>
        </w:tblPrEx>
        <w:trPr>
          <w:trHeight w:val="397"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汕德卡</w:t>
            </w:r>
          </w:p>
        </w:tc>
        <w:tc>
          <w:tcPr>
            <w:tcW w:w="223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L15-窄体标准</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1880</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2240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397"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汕德卡</w:t>
            </w:r>
          </w:p>
        </w:tc>
        <w:tc>
          <w:tcPr>
            <w:tcW w:w="223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L32/37-窄体加长</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2280</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2240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397"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汕德卡</w:t>
            </w:r>
          </w:p>
        </w:tc>
        <w:tc>
          <w:tcPr>
            <w:tcW w:w="223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L40/47-宽体低顶</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2280</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2440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397"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汕德卡</w:t>
            </w:r>
          </w:p>
        </w:tc>
        <w:tc>
          <w:tcPr>
            <w:tcW w:w="223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L41-宽体高顶</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2280</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2440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397"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汕德卡</w:t>
            </w:r>
          </w:p>
        </w:tc>
        <w:tc>
          <w:tcPr>
            <w:tcW w:w="223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L-2080驾驶室</w:t>
            </w:r>
          </w:p>
        </w:tc>
        <w:tc>
          <w:tcPr>
            <w:tcW w:w="1089"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2080</w:t>
            </w:r>
          </w:p>
        </w:tc>
        <w:tc>
          <w:tcPr>
            <w:tcW w:w="96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2240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397"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6</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汕德卡</w:t>
            </w:r>
          </w:p>
        </w:tc>
        <w:tc>
          <w:tcPr>
            <w:tcW w:w="223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四开门驾驶室</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2866</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2438</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highlight w:val="none"/>
                <w:lang w:val="en-US" w:eastAsia="zh-CN"/>
              </w:rPr>
            </w:pPr>
          </w:p>
        </w:tc>
      </w:tr>
    </w:tbl>
    <w:p>
      <w:pPr>
        <w:spacing w:line="360" w:lineRule="auto"/>
        <w:rPr>
          <w:rFonts w:hint="eastAsia" w:ascii="宋体" w:hAnsi="宋体" w:eastAsia="宋体" w:cs="宋体"/>
          <w:b/>
          <w:bCs/>
          <w:sz w:val="24"/>
          <w:szCs w:val="24"/>
          <w:lang w:val="en-US" w:eastAsia="zh-CN"/>
        </w:rPr>
      </w:pPr>
    </w:p>
    <w:p>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玻璃种类见下表：</w:t>
      </w:r>
    </w:p>
    <w:tbl>
      <w:tblPr>
        <w:tblStyle w:val="37"/>
        <w:tblW w:w="7310" w:type="dxa"/>
        <w:jc w:val="center"/>
        <w:tblLayout w:type="fixed"/>
        <w:tblCellMar>
          <w:top w:w="0" w:type="dxa"/>
          <w:left w:w="108" w:type="dxa"/>
          <w:bottom w:w="0" w:type="dxa"/>
          <w:right w:w="108" w:type="dxa"/>
        </w:tblCellMar>
      </w:tblPr>
      <w:tblGrid>
        <w:gridCol w:w="742"/>
        <w:gridCol w:w="996"/>
        <w:gridCol w:w="2216"/>
        <w:gridCol w:w="863"/>
        <w:gridCol w:w="912"/>
        <w:gridCol w:w="913"/>
        <w:gridCol w:w="668"/>
      </w:tblGrid>
      <w:tr>
        <w:tblPrEx>
          <w:tblCellMar>
            <w:top w:w="0" w:type="dxa"/>
            <w:left w:w="108" w:type="dxa"/>
            <w:bottom w:w="0" w:type="dxa"/>
            <w:right w:w="108" w:type="dxa"/>
          </w:tblCellMar>
        </w:tblPrEx>
        <w:trPr>
          <w:trHeight w:val="397" w:hRule="atLeast"/>
          <w:jc w:val="center"/>
        </w:trPr>
        <w:tc>
          <w:tcPr>
            <w:tcW w:w="7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序号</w:t>
            </w:r>
          </w:p>
        </w:tc>
        <w:tc>
          <w:tcPr>
            <w:tcW w:w="9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品牌</w:t>
            </w:r>
          </w:p>
        </w:tc>
        <w:tc>
          <w:tcPr>
            <w:tcW w:w="221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对应的</w:t>
            </w:r>
            <w:r>
              <w:rPr>
                <w:rFonts w:hint="eastAsia" w:ascii="宋体" w:hAnsi="宋体" w:eastAsia="宋体" w:cs="宋体"/>
                <w:color w:val="000000"/>
                <w:kern w:val="0"/>
                <w:sz w:val="21"/>
                <w:szCs w:val="21"/>
              </w:rPr>
              <w:t>驾驶室本体</w:t>
            </w:r>
          </w:p>
        </w:tc>
        <w:tc>
          <w:tcPr>
            <w:tcW w:w="86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长/mm</w:t>
            </w:r>
          </w:p>
        </w:tc>
        <w:tc>
          <w:tcPr>
            <w:tcW w:w="91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宽/mm</w:t>
            </w:r>
          </w:p>
        </w:tc>
        <w:tc>
          <w:tcPr>
            <w:tcW w:w="91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重量</w:t>
            </w:r>
          </w:p>
        </w:tc>
        <w:tc>
          <w:tcPr>
            <w:tcW w:w="66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备注</w:t>
            </w:r>
          </w:p>
        </w:tc>
      </w:tr>
      <w:tr>
        <w:tblPrEx>
          <w:tblCellMar>
            <w:top w:w="0" w:type="dxa"/>
            <w:left w:w="108" w:type="dxa"/>
            <w:bottom w:w="0" w:type="dxa"/>
            <w:right w:w="108" w:type="dxa"/>
          </w:tblCellMar>
        </w:tblPrEx>
        <w:trPr>
          <w:trHeight w:val="397" w:hRule="atLeast"/>
          <w:jc w:val="center"/>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99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汕德卡</w:t>
            </w:r>
          </w:p>
        </w:tc>
        <w:tc>
          <w:tcPr>
            <w:tcW w:w="221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窄体/四开门/TX2080</w:t>
            </w:r>
          </w:p>
        </w:tc>
        <w:tc>
          <w:tcPr>
            <w:tcW w:w="863" w:type="dxa"/>
            <w:tcBorders>
              <w:top w:val="nil"/>
              <w:left w:val="nil"/>
              <w:bottom w:val="single" w:color="auto" w:sz="4" w:space="0"/>
              <w:right w:val="single" w:color="auto" w:sz="4" w:space="0"/>
            </w:tcBorders>
            <w:shd w:val="clear" w:color="auto" w:fill="auto"/>
            <w:vAlign w:val="center"/>
          </w:tcPr>
          <w:p>
            <w:pPr>
              <w:widowControl/>
              <w:spacing w:after="0" w:line="240" w:lineRule="auto"/>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2042.6</w:t>
            </w:r>
          </w:p>
        </w:tc>
        <w:tc>
          <w:tcPr>
            <w:tcW w:w="912" w:type="dxa"/>
            <w:tcBorders>
              <w:top w:val="nil"/>
              <w:left w:val="nil"/>
              <w:bottom w:val="single" w:color="auto" w:sz="4" w:space="0"/>
              <w:right w:val="single" w:color="auto" w:sz="4" w:space="0"/>
            </w:tcBorders>
            <w:shd w:val="clear" w:color="auto" w:fill="auto"/>
            <w:vAlign w:val="center"/>
          </w:tcPr>
          <w:p>
            <w:pPr>
              <w:widowControl/>
              <w:spacing w:after="0" w:line="240" w:lineRule="auto"/>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880.2</w:t>
            </w:r>
          </w:p>
        </w:tc>
        <w:tc>
          <w:tcPr>
            <w:tcW w:w="913"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26.7Kg</w:t>
            </w:r>
          </w:p>
        </w:tc>
        <w:tc>
          <w:tcPr>
            <w:tcW w:w="66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397" w:hRule="atLeast"/>
          <w:jc w:val="center"/>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99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汕德卡</w:t>
            </w:r>
          </w:p>
        </w:tc>
        <w:tc>
          <w:tcPr>
            <w:tcW w:w="221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宽体</w:t>
            </w:r>
          </w:p>
        </w:tc>
        <w:tc>
          <w:tcPr>
            <w:tcW w:w="863" w:type="dxa"/>
            <w:tcBorders>
              <w:top w:val="nil"/>
              <w:left w:val="nil"/>
              <w:bottom w:val="single" w:color="auto" w:sz="4" w:space="0"/>
              <w:right w:val="single" w:color="auto" w:sz="4" w:space="0"/>
            </w:tcBorders>
            <w:shd w:val="clear" w:color="auto" w:fill="auto"/>
            <w:vAlign w:val="center"/>
          </w:tcPr>
          <w:p>
            <w:pPr>
              <w:widowControl/>
              <w:spacing w:after="0" w:line="240" w:lineRule="auto"/>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2242.6</w:t>
            </w:r>
          </w:p>
        </w:tc>
        <w:tc>
          <w:tcPr>
            <w:tcW w:w="912" w:type="dxa"/>
            <w:tcBorders>
              <w:top w:val="nil"/>
              <w:left w:val="nil"/>
              <w:bottom w:val="single" w:color="auto" w:sz="4" w:space="0"/>
              <w:right w:val="single" w:color="auto" w:sz="4" w:space="0"/>
            </w:tcBorders>
            <w:shd w:val="clear" w:color="auto" w:fill="auto"/>
            <w:vAlign w:val="center"/>
          </w:tcPr>
          <w:p>
            <w:pPr>
              <w:widowControl/>
              <w:spacing w:after="0" w:line="240" w:lineRule="auto"/>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879.5</w:t>
            </w:r>
          </w:p>
        </w:tc>
        <w:tc>
          <w:tcPr>
            <w:tcW w:w="913"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29.3Kg</w:t>
            </w:r>
          </w:p>
        </w:tc>
        <w:tc>
          <w:tcPr>
            <w:tcW w:w="66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397" w:hRule="atLeast"/>
          <w:jc w:val="center"/>
        </w:trPr>
        <w:tc>
          <w:tcPr>
            <w:tcW w:w="7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w:t>
            </w:r>
          </w:p>
        </w:tc>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汕德卡</w:t>
            </w:r>
          </w:p>
        </w:tc>
        <w:tc>
          <w:tcPr>
            <w:tcW w:w="22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宽高（L41）</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2242.6</w:t>
            </w:r>
          </w:p>
        </w:tc>
        <w:tc>
          <w:tcPr>
            <w:tcW w:w="9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1134.2</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37.6Kg</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397" w:hRule="atLeast"/>
          <w:jc w:val="center"/>
        </w:trPr>
        <w:tc>
          <w:tcPr>
            <w:tcW w:w="7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hint="eastAsia" w:ascii="宋体" w:hAnsi="宋体" w:eastAsia="宋体" w:cs="宋体"/>
                <w:color w:val="000000"/>
                <w:kern w:val="0"/>
                <w:sz w:val="21"/>
                <w:szCs w:val="21"/>
                <w:highlight w:val="yellow"/>
                <w:lang w:val="en-US" w:eastAsia="zh-CN"/>
              </w:rPr>
            </w:pPr>
            <w:r>
              <w:rPr>
                <w:rFonts w:hint="eastAsia" w:ascii="宋体" w:hAnsi="宋体" w:eastAsia="宋体" w:cs="宋体"/>
                <w:color w:val="000000"/>
                <w:kern w:val="0"/>
                <w:sz w:val="21"/>
                <w:szCs w:val="21"/>
                <w:highlight w:val="yellow"/>
                <w:lang w:val="en-US" w:eastAsia="zh-CN"/>
              </w:rPr>
              <w:t>4</w:t>
            </w:r>
          </w:p>
        </w:tc>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hint="eastAsia" w:ascii="宋体" w:hAnsi="宋体" w:eastAsia="宋体" w:cs="宋体"/>
                <w:color w:val="000000"/>
                <w:kern w:val="0"/>
                <w:sz w:val="21"/>
                <w:szCs w:val="21"/>
                <w:highlight w:val="yellow"/>
                <w:lang w:val="en-US" w:eastAsia="zh-CN"/>
              </w:rPr>
            </w:pPr>
            <w:r>
              <w:rPr>
                <w:rFonts w:hint="eastAsia" w:ascii="宋体" w:hAnsi="宋体" w:eastAsia="宋体" w:cs="宋体"/>
                <w:color w:val="000000"/>
                <w:kern w:val="0"/>
                <w:sz w:val="21"/>
                <w:szCs w:val="21"/>
                <w:highlight w:val="yellow"/>
                <w:lang w:val="en-US" w:eastAsia="zh-CN"/>
              </w:rPr>
              <w:t>新一代</w:t>
            </w:r>
          </w:p>
        </w:tc>
        <w:tc>
          <w:tcPr>
            <w:tcW w:w="22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color w:val="000000"/>
                <w:kern w:val="0"/>
                <w:sz w:val="21"/>
                <w:szCs w:val="21"/>
                <w:highlight w:val="yellow"/>
              </w:rPr>
              <w:t>2500驾驶室</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color w:val="000000"/>
                <w:kern w:val="0"/>
                <w:sz w:val="21"/>
                <w:szCs w:val="21"/>
                <w:highlight w:val="yellow"/>
              </w:rPr>
              <w:t>2445</w:t>
            </w:r>
          </w:p>
        </w:tc>
        <w:tc>
          <w:tcPr>
            <w:tcW w:w="9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color w:val="000000"/>
                <w:kern w:val="0"/>
                <w:sz w:val="21"/>
                <w:szCs w:val="21"/>
                <w:highlight w:val="yellow"/>
              </w:rPr>
              <w:t>2445</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hint="eastAsia" w:ascii="宋体" w:hAnsi="宋体" w:eastAsia="宋体" w:cs="宋体"/>
                <w:color w:val="000000"/>
                <w:kern w:val="0"/>
                <w:sz w:val="21"/>
                <w:szCs w:val="21"/>
                <w:highlight w:val="yellow"/>
                <w:lang w:val="en-US" w:eastAsia="zh-CN"/>
              </w:rPr>
            </w:pPr>
            <w:r>
              <w:rPr>
                <w:rFonts w:hint="eastAsia" w:ascii="宋体" w:hAnsi="宋体" w:eastAsia="宋体" w:cs="宋体"/>
                <w:color w:val="000000"/>
                <w:kern w:val="0"/>
                <w:sz w:val="21"/>
                <w:szCs w:val="21"/>
                <w:highlight w:val="yellow"/>
                <w:lang w:val="en-US" w:eastAsia="zh-CN"/>
              </w:rPr>
              <w:t>/</w:t>
            </w:r>
          </w:p>
        </w:tc>
        <w:tc>
          <w:tcPr>
            <w:tcW w:w="6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hint="eastAsia" w:ascii="宋体" w:hAnsi="宋体" w:eastAsia="宋体" w:cs="宋体"/>
                <w:color w:val="000000"/>
                <w:kern w:val="0"/>
                <w:sz w:val="21"/>
                <w:szCs w:val="21"/>
                <w:highlight w:val="yellow"/>
                <w:lang w:val="en-US" w:eastAsia="zh-CN"/>
              </w:rPr>
            </w:pPr>
            <w:r>
              <w:rPr>
                <w:rFonts w:hint="eastAsia" w:ascii="宋体" w:hAnsi="宋体" w:eastAsia="宋体" w:cs="宋体"/>
                <w:color w:val="000000"/>
                <w:kern w:val="0"/>
                <w:sz w:val="21"/>
                <w:szCs w:val="21"/>
                <w:highlight w:val="yellow"/>
                <w:lang w:val="en-US" w:eastAsia="zh-CN"/>
              </w:rPr>
              <w:t>不生产</w:t>
            </w:r>
          </w:p>
        </w:tc>
      </w:tr>
      <w:tr>
        <w:tblPrEx>
          <w:tblCellMar>
            <w:top w:w="0" w:type="dxa"/>
            <w:left w:w="108" w:type="dxa"/>
            <w:bottom w:w="0" w:type="dxa"/>
            <w:right w:w="108" w:type="dxa"/>
          </w:tblCellMar>
        </w:tblPrEx>
        <w:trPr>
          <w:trHeight w:val="397" w:hRule="atLeast"/>
          <w:jc w:val="center"/>
        </w:trPr>
        <w:tc>
          <w:tcPr>
            <w:tcW w:w="7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hint="default" w:ascii="宋体" w:hAnsi="宋体" w:eastAsia="宋体" w:cs="宋体"/>
                <w:color w:val="000000"/>
                <w:kern w:val="0"/>
                <w:sz w:val="21"/>
                <w:szCs w:val="21"/>
                <w:highlight w:val="yellow"/>
                <w:lang w:val="en-US" w:eastAsia="zh-CN"/>
              </w:rPr>
            </w:pPr>
            <w:r>
              <w:rPr>
                <w:rFonts w:hint="eastAsia" w:ascii="宋体" w:hAnsi="宋体" w:eastAsia="宋体" w:cs="宋体"/>
                <w:color w:val="000000"/>
                <w:kern w:val="0"/>
                <w:sz w:val="21"/>
                <w:szCs w:val="21"/>
                <w:highlight w:val="yellow"/>
                <w:lang w:val="en-US" w:eastAsia="zh-CN"/>
              </w:rPr>
              <w:t>5</w:t>
            </w:r>
          </w:p>
        </w:tc>
        <w:tc>
          <w:tcPr>
            <w:tcW w:w="99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color w:val="000000"/>
                <w:kern w:val="0"/>
                <w:sz w:val="21"/>
                <w:szCs w:val="21"/>
                <w:highlight w:val="yellow"/>
              </w:rPr>
              <w:t>新一代</w:t>
            </w:r>
          </w:p>
        </w:tc>
        <w:tc>
          <w:tcPr>
            <w:tcW w:w="2216"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color w:val="000000"/>
                <w:kern w:val="0"/>
                <w:sz w:val="21"/>
                <w:szCs w:val="21"/>
                <w:highlight w:val="yellow"/>
              </w:rPr>
              <w:t>2300驾驶室</w:t>
            </w:r>
          </w:p>
        </w:tc>
        <w:tc>
          <w:tcPr>
            <w:tcW w:w="86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color w:val="000000"/>
                <w:kern w:val="0"/>
                <w:sz w:val="21"/>
                <w:szCs w:val="21"/>
                <w:highlight w:val="yellow"/>
              </w:rPr>
              <w:t>2245</w:t>
            </w:r>
          </w:p>
        </w:tc>
        <w:tc>
          <w:tcPr>
            <w:tcW w:w="9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color w:val="000000"/>
                <w:kern w:val="0"/>
                <w:sz w:val="21"/>
                <w:szCs w:val="21"/>
                <w:highlight w:val="yellow"/>
              </w:rPr>
              <w:t>2445</w:t>
            </w:r>
          </w:p>
        </w:tc>
        <w:tc>
          <w:tcPr>
            <w:tcW w:w="91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hint="eastAsia" w:ascii="宋体" w:hAnsi="宋体" w:eastAsia="宋体" w:cs="宋体"/>
                <w:color w:val="000000"/>
                <w:kern w:val="0"/>
                <w:sz w:val="21"/>
                <w:szCs w:val="21"/>
                <w:highlight w:val="yellow"/>
                <w:lang w:val="en-US" w:eastAsia="zh-CN"/>
              </w:rPr>
            </w:pPr>
            <w:r>
              <w:rPr>
                <w:rFonts w:hint="eastAsia" w:ascii="宋体" w:hAnsi="宋体" w:eastAsia="宋体" w:cs="宋体"/>
                <w:color w:val="000000"/>
                <w:kern w:val="0"/>
                <w:sz w:val="21"/>
                <w:szCs w:val="21"/>
                <w:highlight w:val="yellow"/>
                <w:lang w:val="en-US" w:eastAsia="zh-CN"/>
              </w:rPr>
              <w:t>/</w:t>
            </w:r>
          </w:p>
        </w:tc>
        <w:tc>
          <w:tcPr>
            <w:tcW w:w="668" w:type="dxa"/>
            <w:vMerge w:val="continue"/>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hint="eastAsia" w:ascii="宋体" w:hAnsi="宋体" w:eastAsia="宋体" w:cs="宋体"/>
                <w:color w:val="000000"/>
                <w:kern w:val="0"/>
                <w:sz w:val="21"/>
                <w:szCs w:val="21"/>
                <w:highlight w:val="yellow"/>
                <w:lang w:val="en-US" w:eastAsia="zh-CN"/>
              </w:rPr>
            </w:pPr>
          </w:p>
        </w:tc>
      </w:tr>
    </w:tbl>
    <w:p>
      <w:pPr>
        <w:numPr>
          <w:ilvl w:val="0"/>
          <w:numId w:val="0"/>
        </w:numPr>
        <w:spacing w:line="360" w:lineRule="auto"/>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yellow"/>
          <w:lang w:val="en-US" w:eastAsia="zh-CN"/>
        </w:rPr>
        <w:t>新一代玻璃的生产，不作为项目验收条件。但中标单位在设计混合胶管时，需提供仿真文件，证明将来新一代玻璃涂胶和胶型检测时，玻璃与胶型检测设备不会发生碰撞。招标方提供新一代玻璃的数模。</w:t>
      </w:r>
    </w:p>
    <w:p>
      <w:pPr>
        <w:spacing w:line="360" w:lineRule="auto"/>
        <w:ind w:firstLine="482" w:firstLineChars="200"/>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1.3辅料及工艺要求</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活化剂：无色或浅黄色</w:t>
      </w:r>
      <w:r>
        <w:rPr>
          <w:rFonts w:hint="eastAsia" w:ascii="宋体" w:hAnsi="宋体" w:eastAsia="宋体" w:cs="宋体"/>
          <w:sz w:val="24"/>
          <w:szCs w:val="24"/>
          <w:lang w:eastAsia="zh-CN"/>
        </w:rPr>
        <w:t>、</w:t>
      </w:r>
      <w:r>
        <w:rPr>
          <w:rFonts w:hint="eastAsia" w:ascii="宋体" w:hAnsi="宋体" w:eastAsia="宋体" w:cs="宋体"/>
          <w:sz w:val="24"/>
          <w:szCs w:val="24"/>
        </w:rPr>
        <w:t>溶剂型粘结促进剂</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底涂：黑色、溶剂型聚氨酯溶液</w:t>
      </w:r>
    </w:p>
    <w:p>
      <w:pPr>
        <w:numPr>
          <w:ilvl w:val="0"/>
          <w:numId w:val="14"/>
        </w:numPr>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胶：黑色</w:t>
      </w:r>
      <w:r>
        <w:rPr>
          <w:rFonts w:hint="eastAsia" w:ascii="宋体" w:hAnsi="宋体" w:eastAsia="宋体" w:cs="宋体"/>
          <w:sz w:val="24"/>
          <w:szCs w:val="24"/>
          <w:lang w:eastAsia="zh-CN"/>
        </w:rPr>
        <w:t>、</w:t>
      </w:r>
      <w:r>
        <w:rPr>
          <w:rFonts w:hint="eastAsia" w:ascii="宋体" w:hAnsi="宋体" w:eastAsia="宋体" w:cs="宋体"/>
          <w:sz w:val="24"/>
          <w:szCs w:val="24"/>
        </w:rPr>
        <w:t>聚氨酯</w:t>
      </w:r>
    </w:p>
    <w:p>
      <w:pPr>
        <w:numPr>
          <w:ilvl w:val="0"/>
          <w:numId w:val="0"/>
        </w:numPr>
        <w:spacing w:line="360" w:lineRule="auto"/>
        <w:ind w:left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固化剂</w:t>
      </w:r>
      <w:r>
        <w:rPr>
          <w:rFonts w:hint="eastAsia" w:ascii="宋体" w:hAnsi="宋体" w:eastAsia="宋体" w:cs="宋体"/>
          <w:sz w:val="24"/>
          <w:szCs w:val="24"/>
          <w:lang w:eastAsia="zh-CN"/>
        </w:rPr>
        <w:t>：</w:t>
      </w:r>
      <w:r>
        <w:rPr>
          <w:rFonts w:hint="eastAsia" w:ascii="宋体" w:hAnsi="宋体" w:eastAsia="宋体" w:cs="宋体"/>
          <w:sz w:val="24"/>
          <w:szCs w:val="24"/>
        </w:rPr>
        <w:t>体积比2%、质量比1.9%</w:t>
      </w:r>
    </w:p>
    <w:p>
      <w:pPr>
        <w:numPr>
          <w:ilvl w:val="0"/>
          <w:numId w:val="0"/>
        </w:numPr>
        <w:spacing w:line="360" w:lineRule="auto"/>
        <w:ind w:left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highlight w:val="yellow"/>
          <w:lang w:val="en-US" w:eastAsia="zh-CN"/>
        </w:rPr>
        <w:t>当前用胶为双组分，将来要切换为单组分。</w:t>
      </w:r>
    </w:p>
    <w:p>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胶型：</w:t>
      </w:r>
      <w:r>
        <w:rPr>
          <w:rFonts w:hint="eastAsia" w:ascii="宋体" w:hAnsi="宋体" w:eastAsia="宋体" w:cs="宋体"/>
          <w:sz w:val="24"/>
        </w:rPr>
        <w:t>胶型呈等腰三角形，山状对称无偏倒</w:t>
      </w:r>
      <w:r>
        <w:rPr>
          <w:rFonts w:hint="eastAsia" w:ascii="宋体" w:hAnsi="宋体" w:eastAsia="宋体" w:cs="宋体"/>
          <w:sz w:val="24"/>
          <w:lang w:eastAsia="zh-CN"/>
        </w:rPr>
        <w:t>，</w:t>
      </w:r>
      <w:r>
        <w:rPr>
          <w:rFonts w:hint="eastAsia" w:ascii="宋体" w:hAnsi="宋体" w:eastAsia="宋体" w:cs="宋体"/>
          <w:sz w:val="24"/>
        </w:rPr>
        <w:t>无断胶和明显突起</w:t>
      </w:r>
    </w:p>
    <w:p>
      <w:pPr>
        <w:numPr>
          <w:ilvl w:val="0"/>
          <w:numId w:val="0"/>
        </w:num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lang w:val="en-US" w:eastAsia="zh-CN"/>
        </w:rPr>
        <w:t>（5）胶宽及胶高：</w:t>
      </w:r>
      <w:r>
        <w:rPr>
          <w:rFonts w:hint="eastAsia" w:ascii="宋体" w:hAnsi="宋体" w:eastAsia="宋体" w:cs="宋体"/>
          <w:sz w:val="24"/>
          <w:szCs w:val="24"/>
        </w:rPr>
        <w:t>胶型高度</w:t>
      </w:r>
      <w:r>
        <w:rPr>
          <w:rFonts w:hint="eastAsia" w:ascii="宋体" w:hAnsi="宋体" w:eastAsia="宋体" w:cs="宋体"/>
          <w:sz w:val="24"/>
          <w:szCs w:val="24"/>
          <w:highlight w:val="cyan"/>
          <w:lang w:val="en-US" w:eastAsia="zh-CN"/>
        </w:rPr>
        <w:t>8-18</w:t>
      </w:r>
      <w:r>
        <w:rPr>
          <w:rFonts w:hint="eastAsia" w:ascii="宋体" w:hAnsi="宋体" w:eastAsia="宋体" w:cs="宋体"/>
          <w:sz w:val="24"/>
          <w:szCs w:val="24"/>
          <w:highlight w:val="cyan"/>
        </w:rPr>
        <w:t>mm</w:t>
      </w:r>
      <w:r>
        <w:rPr>
          <w:rFonts w:hint="eastAsia" w:ascii="宋体" w:hAnsi="宋体" w:eastAsia="宋体" w:cs="宋体"/>
          <w:sz w:val="24"/>
          <w:szCs w:val="24"/>
          <w:lang w:eastAsia="zh-CN"/>
        </w:rPr>
        <w:t>，</w:t>
      </w:r>
      <w:r>
        <w:rPr>
          <w:rFonts w:hint="eastAsia" w:ascii="宋体" w:hAnsi="宋体" w:eastAsia="宋体" w:cs="宋体"/>
          <w:sz w:val="24"/>
          <w:szCs w:val="24"/>
        </w:rPr>
        <w:t>底面宽度为</w:t>
      </w:r>
      <w:r>
        <w:rPr>
          <w:rFonts w:hint="eastAsia" w:ascii="宋体" w:hAnsi="宋体" w:eastAsia="宋体" w:cs="宋体"/>
          <w:sz w:val="24"/>
          <w:szCs w:val="24"/>
          <w:highlight w:val="cyan"/>
        </w:rPr>
        <w:t>1</w:t>
      </w:r>
      <w:r>
        <w:rPr>
          <w:rFonts w:hint="eastAsia" w:ascii="宋体" w:hAnsi="宋体" w:eastAsia="宋体" w:cs="宋体"/>
          <w:sz w:val="24"/>
          <w:szCs w:val="24"/>
          <w:highlight w:val="cyan"/>
          <w:lang w:val="en-US" w:eastAsia="zh-CN"/>
        </w:rPr>
        <w:t>0</w:t>
      </w:r>
      <w:r>
        <w:rPr>
          <w:rFonts w:hint="eastAsia" w:ascii="宋体" w:hAnsi="宋体" w:eastAsia="宋体" w:cs="宋体"/>
          <w:sz w:val="24"/>
          <w:szCs w:val="24"/>
          <w:highlight w:val="cyan"/>
        </w:rPr>
        <w:t>-1</w:t>
      </w:r>
      <w:r>
        <w:rPr>
          <w:rFonts w:hint="eastAsia" w:ascii="宋体" w:hAnsi="宋体" w:eastAsia="宋体" w:cs="宋体"/>
          <w:sz w:val="24"/>
          <w:szCs w:val="24"/>
          <w:highlight w:val="cyan"/>
          <w:lang w:val="en-US" w:eastAsia="zh-CN"/>
        </w:rPr>
        <w:t>2</w:t>
      </w:r>
      <w:r>
        <w:rPr>
          <w:rFonts w:hint="eastAsia" w:ascii="宋体" w:hAnsi="宋体" w:eastAsia="宋体" w:cs="宋体"/>
          <w:sz w:val="24"/>
          <w:szCs w:val="24"/>
          <w:highlight w:val="cyan"/>
        </w:rPr>
        <w:t>mm</w:t>
      </w:r>
    </w:p>
    <w:p>
      <w:pPr>
        <w:numPr>
          <w:ilvl w:val="0"/>
          <w:numId w:val="0"/>
        </w:numPr>
        <w:spacing w:line="360" w:lineRule="auto"/>
        <w:ind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胶条位置：胶型中线距离玻璃边缘9mm，</w:t>
      </w:r>
      <w:r>
        <w:rPr>
          <w:rFonts w:hint="eastAsia" w:ascii="宋体" w:hAnsi="宋体" w:eastAsia="宋体" w:cs="宋体"/>
          <w:sz w:val="24"/>
          <w:szCs w:val="24"/>
          <w:highlight w:val="cyan"/>
          <w:lang w:val="en-US" w:eastAsia="zh-CN"/>
        </w:rPr>
        <w:t>位置度精度±0.5mm</w:t>
      </w:r>
    </w:p>
    <w:p>
      <w:pPr>
        <w:numPr>
          <w:ilvl w:val="0"/>
          <w:numId w:val="0"/>
        </w:numPr>
        <w:tabs>
          <w:tab w:val="left" w:pos="-425"/>
        </w:tabs>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lang w:eastAsia="zh-CN"/>
        </w:rPr>
        <w:t>（</w:t>
      </w:r>
      <w:r>
        <w:rPr>
          <w:rFonts w:hint="eastAsia" w:ascii="宋体" w:hAnsi="宋体" w:eastAsia="宋体" w:cs="宋体"/>
          <w:sz w:val="24"/>
          <w:lang w:val="en-US" w:eastAsia="zh-CN"/>
        </w:rPr>
        <w:t>7</w:t>
      </w:r>
      <w:r>
        <w:rPr>
          <w:rFonts w:hint="eastAsia" w:ascii="宋体" w:hAnsi="宋体" w:eastAsia="宋体" w:cs="宋体"/>
          <w:sz w:val="24"/>
          <w:lang w:eastAsia="zh-CN"/>
        </w:rPr>
        <w:t>）</w:t>
      </w:r>
      <w:r>
        <w:rPr>
          <w:rFonts w:hint="eastAsia" w:ascii="宋体" w:hAnsi="宋体" w:eastAsia="宋体" w:cs="宋体"/>
          <w:sz w:val="24"/>
          <w:lang w:val="en-US" w:eastAsia="zh-CN"/>
        </w:rPr>
        <w:t>溢胶</w:t>
      </w:r>
      <w:r>
        <w:rPr>
          <w:rFonts w:hint="eastAsia" w:ascii="宋体" w:hAnsi="宋体" w:eastAsia="宋体" w:cs="宋体"/>
          <w:sz w:val="24"/>
        </w:rPr>
        <w:t>：</w:t>
      </w:r>
      <w:r>
        <w:rPr>
          <w:rFonts w:hint="eastAsia" w:ascii="宋体" w:hAnsi="宋体" w:eastAsia="宋体" w:cs="宋体"/>
          <w:sz w:val="24"/>
          <w:lang w:val="en-US" w:eastAsia="zh-CN"/>
        </w:rPr>
        <w:t>玻璃粘接后，</w:t>
      </w:r>
      <w:r>
        <w:rPr>
          <w:rFonts w:hint="eastAsia" w:ascii="宋体" w:hAnsi="宋体" w:eastAsia="宋体" w:cs="宋体"/>
          <w:sz w:val="24"/>
        </w:rPr>
        <w:t>下边</w:t>
      </w:r>
      <w:r>
        <w:rPr>
          <w:rFonts w:hint="eastAsia" w:ascii="宋体" w:hAnsi="宋体" w:eastAsia="宋体" w:cs="宋体"/>
          <w:sz w:val="24"/>
          <w:lang w:val="en-US" w:eastAsia="zh-CN"/>
        </w:rPr>
        <w:t>缘</w:t>
      </w:r>
      <w:r>
        <w:rPr>
          <w:rFonts w:hint="eastAsia" w:ascii="宋体" w:hAnsi="宋体" w:eastAsia="宋体" w:cs="宋体"/>
          <w:sz w:val="24"/>
        </w:rPr>
        <w:t>允许溢胶不超过2mm</w:t>
      </w:r>
      <w:r>
        <w:rPr>
          <w:rFonts w:hint="eastAsia" w:ascii="宋体" w:hAnsi="宋体" w:eastAsia="宋体" w:cs="宋体"/>
          <w:sz w:val="24"/>
          <w:lang w:eastAsia="zh-CN"/>
        </w:rPr>
        <w:t>，</w:t>
      </w:r>
      <w:r>
        <w:rPr>
          <w:rFonts w:hint="eastAsia" w:ascii="宋体" w:hAnsi="宋体" w:eastAsia="宋体" w:cs="宋体"/>
          <w:sz w:val="24"/>
        </w:rPr>
        <w:t>可视区域不允许溢胶</w:t>
      </w:r>
    </w:p>
    <w:p>
      <w:pPr>
        <w:numPr>
          <w:ilvl w:val="0"/>
          <w:numId w:val="0"/>
        </w:numPr>
        <w:tabs>
          <w:tab w:val="left" w:pos="-425"/>
        </w:tabs>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eastAsia="zh-CN"/>
        </w:rPr>
        <w:t>（</w:t>
      </w:r>
      <w:r>
        <w:rPr>
          <w:rFonts w:hint="eastAsia" w:ascii="宋体" w:hAnsi="宋体" w:eastAsia="宋体" w:cs="宋体"/>
          <w:sz w:val="24"/>
          <w:lang w:val="en-US" w:eastAsia="zh-CN"/>
        </w:rPr>
        <w:t>8</w:t>
      </w:r>
      <w:r>
        <w:rPr>
          <w:rFonts w:hint="eastAsia" w:ascii="宋体" w:hAnsi="宋体" w:eastAsia="宋体" w:cs="宋体"/>
          <w:sz w:val="24"/>
          <w:lang w:eastAsia="zh-CN"/>
        </w:rPr>
        <w:t>）施工温度：胶供应商建议10℃-40℃</w:t>
      </w:r>
    </w:p>
    <w:p>
      <w:pPr>
        <w:numPr>
          <w:ilvl w:val="0"/>
          <w:numId w:val="0"/>
        </w:numPr>
        <w:tabs>
          <w:tab w:val="left" w:pos="-425"/>
        </w:tabs>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lang w:eastAsia="zh-CN"/>
        </w:rPr>
        <w:t>（</w:t>
      </w:r>
      <w:r>
        <w:rPr>
          <w:rFonts w:hint="eastAsia" w:ascii="宋体" w:hAnsi="宋体" w:eastAsia="宋体" w:cs="宋体"/>
          <w:sz w:val="24"/>
          <w:lang w:val="en-US" w:eastAsia="zh-CN"/>
        </w:rPr>
        <w:t>9</w:t>
      </w:r>
      <w:r>
        <w:rPr>
          <w:rFonts w:hint="eastAsia" w:ascii="宋体" w:hAnsi="宋体" w:eastAsia="宋体" w:cs="宋体"/>
          <w:sz w:val="24"/>
          <w:lang w:eastAsia="zh-CN"/>
        </w:rPr>
        <w:t>）</w:t>
      </w:r>
      <w:r>
        <w:rPr>
          <w:rFonts w:hint="eastAsia" w:ascii="宋体" w:hAnsi="宋体" w:eastAsia="宋体" w:cs="宋体"/>
          <w:sz w:val="24"/>
          <w:lang w:val="en-US" w:eastAsia="zh-CN"/>
        </w:rPr>
        <w:t>在用</w:t>
      </w:r>
      <w:r>
        <w:rPr>
          <w:rFonts w:hint="eastAsia" w:ascii="宋体" w:hAnsi="宋体" w:eastAsia="宋体" w:cs="宋体"/>
          <w:sz w:val="24"/>
          <w:lang w:eastAsia="zh-CN"/>
        </w:rPr>
        <w:t>胶的品牌：</w:t>
      </w:r>
      <w:r>
        <w:rPr>
          <w:rFonts w:hint="eastAsia" w:ascii="宋体" w:hAnsi="宋体" w:eastAsia="宋体" w:cs="宋体"/>
          <w:sz w:val="24"/>
          <w:lang w:val="en-US" w:eastAsia="zh-CN"/>
        </w:rPr>
        <w:t>西卡</w:t>
      </w:r>
    </w:p>
    <w:p>
      <w:pPr>
        <w:spacing w:line="360" w:lineRule="auto"/>
        <w:ind w:firstLine="482" w:firstLineChars="200"/>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1.4节拍要求</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3.5min/辆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滑橇从上一工位启动至涂胶后完全出站耗时不超过3.5min。</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2.主要技术要求</w:t>
      </w:r>
    </w:p>
    <w:p>
      <w:pPr>
        <w:spacing w:line="360" w:lineRule="auto"/>
        <w:ind w:firstLine="482" w:firstLineChars="200"/>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2.1设备主要构造</w:t>
      </w:r>
    </w:p>
    <w:p>
      <w:pPr>
        <w:numPr>
          <w:ilvl w:val="0"/>
          <w:numId w:val="0"/>
        </w:numPr>
        <w:spacing w:line="360" w:lineRule="auto"/>
        <w:ind w:leftChars="0"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rPr>
        <w:t>本</w:t>
      </w:r>
      <w:r>
        <w:rPr>
          <w:rFonts w:hint="eastAsia" w:ascii="宋体" w:hAnsi="宋体" w:eastAsia="宋体" w:cs="宋体"/>
          <w:sz w:val="24"/>
          <w:szCs w:val="24"/>
          <w:lang w:val="en-US" w:eastAsia="zh-CN"/>
        </w:rPr>
        <w:t>次改造项目</w:t>
      </w:r>
      <w:r>
        <w:rPr>
          <w:rFonts w:hint="eastAsia" w:ascii="宋体" w:hAnsi="宋体" w:eastAsia="宋体" w:cs="宋体"/>
          <w:sz w:val="24"/>
          <w:szCs w:val="24"/>
        </w:rPr>
        <w:t>在</w:t>
      </w:r>
      <w:r>
        <w:rPr>
          <w:rFonts w:hint="eastAsia" w:ascii="宋体" w:hAnsi="宋体" w:eastAsia="宋体" w:cs="宋体"/>
          <w:sz w:val="24"/>
          <w:szCs w:val="24"/>
          <w:lang w:val="en-US" w:eastAsia="zh-CN"/>
        </w:rPr>
        <w:t>济南商用车公司总装车间</w:t>
      </w:r>
      <w:r>
        <w:rPr>
          <w:rFonts w:hint="eastAsia" w:ascii="宋体" w:hAnsi="宋体" w:eastAsia="宋体" w:cs="宋体"/>
          <w:sz w:val="24"/>
          <w:szCs w:val="24"/>
        </w:rPr>
        <w:t>内饰装配线</w:t>
      </w:r>
      <w:r>
        <w:rPr>
          <w:rFonts w:hint="eastAsia" w:ascii="宋体" w:hAnsi="宋体" w:eastAsia="宋体" w:cs="宋体"/>
          <w:sz w:val="24"/>
          <w:szCs w:val="24"/>
          <w:lang w:val="en-US" w:eastAsia="zh-CN"/>
        </w:rPr>
        <w:t>进行</w:t>
      </w:r>
      <w:r>
        <w:rPr>
          <w:rFonts w:hint="eastAsia" w:ascii="宋体" w:hAnsi="宋体" w:eastAsia="宋体" w:cs="宋体"/>
          <w:sz w:val="24"/>
          <w:szCs w:val="24"/>
        </w:rPr>
        <w:t>。</w:t>
      </w:r>
      <w:r>
        <w:rPr>
          <w:rFonts w:hint="eastAsia" w:ascii="宋体" w:hAnsi="宋体" w:eastAsia="宋体" w:cs="宋体"/>
          <w:sz w:val="24"/>
          <w:szCs w:val="24"/>
          <w:lang w:val="en-US" w:eastAsia="zh-CN"/>
        </w:rPr>
        <w:t>先</w:t>
      </w:r>
      <w:r>
        <w:rPr>
          <w:rFonts w:hint="eastAsia" w:ascii="宋体" w:hAnsi="宋体" w:eastAsia="宋体" w:cs="宋体"/>
          <w:sz w:val="24"/>
          <w:szCs w:val="24"/>
          <w:highlight w:val="none"/>
          <w:lang w:val="en-US" w:eastAsia="zh-CN"/>
        </w:rPr>
        <w:t>拆除</w:t>
      </w:r>
      <w:r>
        <w:rPr>
          <w:rFonts w:hint="eastAsia" w:ascii="宋体" w:hAnsi="宋体" w:eastAsia="宋体" w:cs="宋体"/>
          <w:sz w:val="24"/>
          <w:szCs w:val="24"/>
        </w:rPr>
        <w:t>旧</w:t>
      </w:r>
      <w:r>
        <w:rPr>
          <w:rFonts w:hint="eastAsia" w:ascii="宋体" w:hAnsi="宋体" w:eastAsia="宋体" w:cs="宋体"/>
          <w:sz w:val="24"/>
          <w:szCs w:val="24"/>
          <w:lang w:eastAsia="zh-CN"/>
        </w:rPr>
        <w:t>的</w:t>
      </w:r>
      <w:r>
        <w:rPr>
          <w:rFonts w:hint="eastAsia" w:ascii="宋体" w:hAnsi="宋体" w:eastAsia="宋体" w:cs="宋体"/>
          <w:sz w:val="24"/>
          <w:szCs w:val="24"/>
        </w:rPr>
        <w:t>供胶设备</w:t>
      </w:r>
      <w:r>
        <w:rPr>
          <w:rFonts w:hint="eastAsia" w:ascii="宋体" w:hAnsi="宋体" w:eastAsia="宋体" w:cs="宋体"/>
          <w:sz w:val="24"/>
          <w:szCs w:val="24"/>
          <w:lang w:val="en-US" w:eastAsia="zh-CN"/>
        </w:rPr>
        <w:t>及控制柜</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更换全套供胶系统，增加胶型检测系统，在对中台增加烘干系统，检修清胶桶。</w:t>
      </w:r>
      <w:r>
        <w:rPr>
          <w:rFonts w:hint="eastAsia" w:ascii="宋体" w:hAnsi="宋体" w:eastAsia="宋体" w:cs="宋体"/>
          <w:sz w:val="24"/>
          <w:szCs w:val="24"/>
          <w:highlight w:val="lightGray"/>
          <w:lang w:val="en-US" w:eastAsia="zh-CN"/>
        </w:rPr>
        <w:t>对车型识别及定位系统进行优化提升</w:t>
      </w:r>
      <w:r>
        <w:rPr>
          <w:rFonts w:hint="eastAsia" w:ascii="宋体" w:hAnsi="宋体" w:eastAsia="宋体" w:cs="宋体"/>
          <w:sz w:val="24"/>
          <w:szCs w:val="24"/>
          <w:highlight w:val="cyan"/>
          <w:lang w:val="en-US" w:eastAsia="zh-CN"/>
        </w:rPr>
        <w:t>（含全新一代中重卡车型）</w:t>
      </w:r>
      <w:r>
        <w:rPr>
          <w:rFonts w:hint="eastAsia" w:ascii="宋体" w:hAnsi="宋体" w:eastAsia="宋体" w:cs="宋体"/>
          <w:sz w:val="24"/>
          <w:szCs w:val="24"/>
          <w:highlight w:val="lightGray"/>
          <w:lang w:val="en-US" w:eastAsia="zh-CN"/>
        </w:rPr>
        <w:t>。机器人及抓具不做改动。</w:t>
      </w:r>
    </w:p>
    <w:p>
      <w:pPr>
        <w:spacing w:line="360" w:lineRule="auto"/>
        <w:ind w:firstLine="482" w:firstLineChars="200"/>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2.2工艺流程</w:t>
      </w:r>
    </w:p>
    <w:p>
      <w:pPr>
        <w:numPr>
          <w:ilvl w:val="0"/>
          <w:numId w:val="0"/>
        </w:numPr>
        <w:spacing w:line="360" w:lineRule="auto"/>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胶型检测随涂随检，不占用节拍时间。烘干风管在现有对中台上，不占用节拍时间。其他与现有工艺流程相同。</w:t>
      </w:r>
    </w:p>
    <w:p>
      <w:pPr>
        <w:spacing w:line="360" w:lineRule="auto"/>
        <w:ind w:firstLine="482" w:firstLineChars="200"/>
        <w:outlineLvl w:val="3"/>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2.3基础施工</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2.3.1拆除现有部分设备</w:t>
      </w:r>
    </w:p>
    <w:p>
      <w:pPr>
        <w:numPr>
          <w:ilvl w:val="0"/>
          <w:numId w:val="0"/>
        </w:numPr>
        <w:spacing w:line="360" w:lineRule="auto"/>
        <w:ind w:firstLine="48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拆除现有涂胶工位的全套供胶设备（含控制柜）及胶枪。涂胶塔立柱根据施工需要，可以保留或拆除。</w:t>
      </w:r>
    </w:p>
    <w:p>
      <w:pPr>
        <w:numPr>
          <w:ilvl w:val="0"/>
          <w:numId w:val="0"/>
        </w:numPr>
        <w:spacing w:line="360" w:lineRule="auto"/>
        <w:ind w:firstLine="48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拆除现有围网，清洗修复，在新设备安装完成后，重新安装。如果新的设备安装后，现有围网数量不足，投标方补齐。</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2.3.2 滚床定位系统修复</w:t>
      </w:r>
    </w:p>
    <w:p>
      <w:pPr>
        <w:numPr>
          <w:ilvl w:val="0"/>
          <w:numId w:val="0"/>
        </w:numPr>
        <w:spacing w:line="360" w:lineRule="auto"/>
        <w:ind w:firstLine="48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更换现有工作站的导向滚轮、卡钳等，提高滑橇进站后的定位精度。</w:t>
      </w:r>
    </w:p>
    <w:p>
      <w:pPr>
        <w:spacing w:line="360" w:lineRule="auto"/>
        <w:ind w:firstLine="482" w:firstLineChars="200"/>
        <w:outlineLvl w:val="3"/>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2.4供胶系统</w:t>
      </w:r>
    </w:p>
    <w:p>
      <w:pPr>
        <w:spacing w:line="360" w:lineRule="auto"/>
        <w:ind w:firstLine="480" w:firstLineChars="200"/>
        <w:rPr>
          <w:rStyle w:val="145"/>
          <w:rFonts w:hint="eastAsia" w:ascii="宋体" w:hAnsi="宋体" w:eastAsia="宋体" w:cs="宋体"/>
          <w:b w:val="0"/>
          <w:bCs w:val="0"/>
          <w:sz w:val="24"/>
          <w:szCs w:val="24"/>
          <w:highlight w:val="none"/>
        </w:rPr>
      </w:pPr>
      <w:r>
        <w:rPr>
          <w:rStyle w:val="145"/>
          <w:rFonts w:hint="eastAsia" w:ascii="宋体" w:hAnsi="宋体" w:eastAsia="宋体" w:cs="宋体"/>
          <w:b w:val="0"/>
          <w:bCs w:val="0"/>
          <w:sz w:val="24"/>
          <w:szCs w:val="24"/>
          <w:highlight w:val="none"/>
          <w:lang w:val="en-US" w:eastAsia="zh-CN"/>
        </w:rPr>
        <w:t>采用双组分供胶系统，</w:t>
      </w:r>
      <w:r>
        <w:rPr>
          <w:rStyle w:val="145"/>
          <w:rFonts w:hint="eastAsia" w:ascii="宋体" w:hAnsi="宋体" w:eastAsia="宋体" w:cs="宋体"/>
          <w:b w:val="0"/>
          <w:bCs w:val="0"/>
          <w:sz w:val="24"/>
          <w:szCs w:val="24"/>
          <w:highlight w:val="none"/>
        </w:rPr>
        <w:t>供胶泵采用</w:t>
      </w:r>
      <w:r>
        <w:rPr>
          <w:rStyle w:val="145"/>
          <w:rFonts w:hint="eastAsia" w:ascii="宋体" w:hAnsi="宋体" w:eastAsia="宋体" w:cs="宋体"/>
          <w:b w:val="0"/>
          <w:bCs w:val="0"/>
          <w:sz w:val="24"/>
          <w:szCs w:val="24"/>
          <w:highlight w:val="none"/>
          <w:lang w:val="en-US" w:eastAsia="zh-CN"/>
        </w:rPr>
        <w:t>四桶四</w:t>
      </w:r>
      <w:r>
        <w:rPr>
          <w:rStyle w:val="145"/>
          <w:rFonts w:hint="eastAsia" w:ascii="宋体" w:hAnsi="宋体" w:eastAsia="宋体" w:cs="宋体"/>
          <w:b w:val="0"/>
          <w:bCs w:val="0"/>
          <w:sz w:val="24"/>
          <w:szCs w:val="24"/>
          <w:highlight w:val="none"/>
        </w:rPr>
        <w:t>泵</w:t>
      </w:r>
      <w:r>
        <w:rPr>
          <w:rStyle w:val="145"/>
          <w:rFonts w:hint="eastAsia" w:ascii="宋体" w:hAnsi="宋体" w:eastAsia="宋体" w:cs="宋体"/>
          <w:b w:val="0"/>
          <w:bCs w:val="0"/>
          <w:sz w:val="24"/>
          <w:szCs w:val="24"/>
          <w:highlight w:val="none"/>
          <w:lang w:val="en-US" w:eastAsia="zh-CN"/>
        </w:rPr>
        <w:t>，AB组分均为</w:t>
      </w:r>
      <w:r>
        <w:rPr>
          <w:rStyle w:val="145"/>
          <w:rFonts w:hint="eastAsia" w:ascii="宋体" w:hAnsi="宋体" w:eastAsia="宋体" w:cs="宋体"/>
          <w:b w:val="0"/>
          <w:bCs w:val="0"/>
          <w:sz w:val="24"/>
          <w:szCs w:val="24"/>
          <w:highlight w:val="none"/>
        </w:rPr>
        <w:t>一用一备</w:t>
      </w:r>
      <w:r>
        <w:rPr>
          <w:rStyle w:val="145"/>
          <w:rFonts w:hint="eastAsia" w:ascii="宋体" w:hAnsi="宋体" w:eastAsia="宋体" w:cs="宋体"/>
          <w:b w:val="0"/>
          <w:bCs w:val="0"/>
          <w:sz w:val="24"/>
          <w:szCs w:val="24"/>
          <w:highlight w:val="none"/>
          <w:lang w:eastAsia="zh-CN"/>
        </w:rPr>
        <w:t>，</w:t>
      </w:r>
      <w:r>
        <w:rPr>
          <w:rStyle w:val="145"/>
          <w:rFonts w:hint="eastAsia" w:ascii="宋体" w:hAnsi="宋体" w:eastAsia="宋体" w:cs="宋体"/>
          <w:b w:val="0"/>
          <w:bCs w:val="0"/>
          <w:sz w:val="24"/>
          <w:szCs w:val="24"/>
          <w:highlight w:val="none"/>
          <w:lang w:val="en-US" w:eastAsia="zh-CN"/>
        </w:rPr>
        <w:t>可自动</w:t>
      </w:r>
      <w:r>
        <w:rPr>
          <w:rStyle w:val="145"/>
          <w:rFonts w:hint="eastAsia" w:ascii="宋体" w:hAnsi="宋体" w:eastAsia="宋体" w:cs="宋体"/>
          <w:b w:val="0"/>
          <w:bCs w:val="0"/>
          <w:sz w:val="24"/>
          <w:szCs w:val="24"/>
          <w:highlight w:val="none"/>
        </w:rPr>
        <w:t>切换</w:t>
      </w:r>
      <w:r>
        <w:rPr>
          <w:rStyle w:val="145"/>
          <w:rFonts w:hint="eastAsia" w:ascii="宋体" w:hAnsi="宋体" w:eastAsia="宋体" w:cs="宋体"/>
          <w:b w:val="0"/>
          <w:bCs w:val="0"/>
          <w:sz w:val="24"/>
          <w:szCs w:val="24"/>
          <w:highlight w:val="none"/>
          <w:lang w:val="en-US" w:eastAsia="zh-CN"/>
        </w:rPr>
        <w:t>模组</w:t>
      </w:r>
      <w:r>
        <w:rPr>
          <w:rStyle w:val="145"/>
          <w:rFonts w:hint="eastAsia" w:ascii="宋体" w:hAnsi="宋体" w:eastAsia="宋体" w:cs="宋体"/>
          <w:b w:val="0"/>
          <w:bCs w:val="0"/>
          <w:sz w:val="24"/>
          <w:szCs w:val="24"/>
          <w:highlight w:val="none"/>
          <w:lang w:eastAsia="zh-CN"/>
        </w:rPr>
        <w:t>。</w:t>
      </w:r>
      <w:r>
        <w:rPr>
          <w:rStyle w:val="145"/>
          <w:rFonts w:hint="eastAsia" w:ascii="宋体" w:hAnsi="宋体" w:eastAsia="宋体" w:cs="宋体"/>
          <w:b w:val="0"/>
          <w:bCs w:val="0"/>
          <w:sz w:val="24"/>
          <w:szCs w:val="24"/>
          <w:highlight w:val="none"/>
          <w:lang w:val="en-US" w:eastAsia="zh-CN"/>
        </w:rPr>
        <w:t>供胶泵选用气动泵，计量系统选用定量缸。压盘至胶枪</w:t>
      </w:r>
      <w:r>
        <w:rPr>
          <w:rStyle w:val="145"/>
          <w:rFonts w:hint="eastAsia" w:ascii="宋体" w:hAnsi="宋体" w:eastAsia="宋体" w:cs="宋体"/>
          <w:b w:val="0"/>
          <w:bCs w:val="0"/>
          <w:sz w:val="24"/>
          <w:szCs w:val="24"/>
          <w:highlight w:val="none"/>
        </w:rPr>
        <w:t>全程</w:t>
      </w:r>
      <w:r>
        <w:rPr>
          <w:rStyle w:val="145"/>
          <w:rFonts w:hint="eastAsia" w:ascii="宋体" w:hAnsi="宋体" w:eastAsia="宋体" w:cs="宋体"/>
          <w:b w:val="0"/>
          <w:bCs w:val="0"/>
          <w:sz w:val="24"/>
          <w:szCs w:val="24"/>
          <w:highlight w:val="none"/>
          <w:lang w:val="en-US" w:eastAsia="zh-CN"/>
        </w:rPr>
        <w:t>可</w:t>
      </w:r>
      <w:r>
        <w:rPr>
          <w:rStyle w:val="145"/>
          <w:rFonts w:hint="eastAsia" w:ascii="宋体" w:hAnsi="宋体" w:eastAsia="宋体" w:cs="宋体"/>
          <w:b w:val="0"/>
          <w:bCs w:val="0"/>
          <w:sz w:val="24"/>
          <w:szCs w:val="24"/>
          <w:highlight w:val="none"/>
        </w:rPr>
        <w:t>加热</w:t>
      </w:r>
      <w:r>
        <w:rPr>
          <w:rStyle w:val="145"/>
          <w:rFonts w:hint="eastAsia" w:ascii="宋体" w:hAnsi="宋体" w:eastAsia="宋体" w:cs="宋体"/>
          <w:b w:val="0"/>
          <w:bCs w:val="0"/>
          <w:sz w:val="24"/>
          <w:szCs w:val="24"/>
          <w:highlight w:val="none"/>
          <w:lang w:eastAsia="zh-CN"/>
        </w:rPr>
        <w:t>（</w:t>
      </w:r>
      <w:r>
        <w:rPr>
          <w:rStyle w:val="145"/>
          <w:rFonts w:hint="eastAsia" w:ascii="宋体" w:hAnsi="宋体" w:eastAsia="宋体" w:cs="宋体"/>
          <w:b w:val="0"/>
          <w:bCs w:val="0"/>
          <w:sz w:val="24"/>
          <w:szCs w:val="24"/>
          <w:highlight w:val="none"/>
          <w:lang w:val="en-US" w:eastAsia="zh-CN"/>
        </w:rPr>
        <w:t>分段</w:t>
      </w:r>
      <w:r>
        <w:rPr>
          <w:rStyle w:val="145"/>
          <w:rFonts w:hint="eastAsia" w:ascii="宋体" w:hAnsi="宋体" w:eastAsia="宋体" w:cs="宋体"/>
          <w:b w:val="0"/>
          <w:bCs w:val="0"/>
          <w:sz w:val="24"/>
          <w:szCs w:val="24"/>
          <w:highlight w:val="none"/>
          <w:lang w:eastAsia="zh-CN"/>
        </w:rPr>
        <w:t>）</w:t>
      </w:r>
      <w:r>
        <w:rPr>
          <w:rStyle w:val="145"/>
          <w:rFonts w:hint="eastAsia" w:ascii="宋体" w:hAnsi="宋体" w:eastAsia="宋体" w:cs="宋体"/>
          <w:b w:val="0"/>
          <w:bCs w:val="0"/>
          <w:sz w:val="24"/>
          <w:szCs w:val="24"/>
          <w:highlight w:val="none"/>
        </w:rPr>
        <w:t>，并配备相应</w:t>
      </w:r>
      <w:r>
        <w:rPr>
          <w:rStyle w:val="145"/>
          <w:rFonts w:hint="eastAsia" w:ascii="宋体" w:hAnsi="宋体" w:eastAsia="宋体" w:cs="宋体"/>
          <w:b w:val="0"/>
          <w:bCs w:val="0"/>
          <w:sz w:val="24"/>
          <w:szCs w:val="24"/>
          <w:highlight w:val="none"/>
          <w:lang w:eastAsia="zh-CN"/>
        </w:rPr>
        <w:t>的</w:t>
      </w:r>
      <w:r>
        <w:rPr>
          <w:rStyle w:val="145"/>
          <w:rFonts w:hint="eastAsia" w:ascii="宋体" w:hAnsi="宋体" w:eastAsia="宋体" w:cs="宋体"/>
          <w:b w:val="0"/>
          <w:bCs w:val="0"/>
          <w:sz w:val="24"/>
          <w:szCs w:val="24"/>
          <w:highlight w:val="none"/>
          <w:lang w:val="en-US" w:eastAsia="zh-CN"/>
        </w:rPr>
        <w:t>分段</w:t>
      </w:r>
      <w:r>
        <w:rPr>
          <w:rStyle w:val="145"/>
          <w:rFonts w:hint="eastAsia" w:ascii="宋体" w:hAnsi="宋体" w:eastAsia="宋体" w:cs="宋体"/>
          <w:b w:val="0"/>
          <w:bCs w:val="0"/>
          <w:sz w:val="24"/>
          <w:szCs w:val="24"/>
          <w:highlight w:val="none"/>
        </w:rPr>
        <w:t>温控系统。</w:t>
      </w:r>
    </w:p>
    <w:p>
      <w:pPr>
        <w:spacing w:line="360" w:lineRule="auto"/>
        <w:ind w:firstLine="482" w:firstLineChars="200"/>
        <w:rPr>
          <w:rStyle w:val="145"/>
          <w:rFonts w:hint="default" w:ascii="宋体" w:hAnsi="宋体" w:eastAsia="宋体" w:cs="宋体"/>
          <w:b/>
          <w:bCs/>
          <w:sz w:val="24"/>
          <w:szCs w:val="24"/>
          <w:highlight w:val="yellow"/>
          <w:lang w:val="en-US" w:eastAsia="zh-CN"/>
        </w:rPr>
      </w:pPr>
      <w:r>
        <w:rPr>
          <w:rStyle w:val="145"/>
          <w:rFonts w:hint="eastAsia" w:ascii="宋体" w:hAnsi="宋体" w:eastAsia="宋体" w:cs="宋体"/>
          <w:b/>
          <w:bCs/>
          <w:sz w:val="24"/>
          <w:szCs w:val="24"/>
          <w:highlight w:val="none"/>
          <w:lang w:val="en-US" w:eastAsia="zh-CN"/>
        </w:rPr>
        <w:t>供胶系统需具备双组分转单组分的功能，在双组分胶切换为单组分胶时，可通过更改控制系统设置和调整部分硬件，实现生产切换。</w:t>
      </w:r>
      <w:r>
        <w:rPr>
          <w:rStyle w:val="145"/>
          <w:rFonts w:hint="eastAsia" w:ascii="宋体" w:hAnsi="宋体" w:eastAsia="宋体" w:cs="宋体"/>
          <w:b/>
          <w:bCs/>
          <w:sz w:val="24"/>
          <w:szCs w:val="24"/>
          <w:highlight w:val="yellow"/>
          <w:lang w:val="en-US" w:eastAsia="zh-CN"/>
        </w:rPr>
        <w:t>如果将来切换时需要产生费用，在投标报价里单独注明费用金额。</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2.4.1胶泵</w:t>
      </w:r>
    </w:p>
    <w:p>
      <w:pPr>
        <w:numPr>
          <w:ilvl w:val="0"/>
          <w:numId w:val="15"/>
        </w:numPr>
        <w:spacing w:line="360" w:lineRule="auto"/>
        <w:ind w:firstLine="480" w:firstLineChars="200"/>
        <w:rPr>
          <w:rFonts w:hint="eastAsia"/>
          <w:lang w:val="en-US" w:eastAsia="zh-CN"/>
        </w:rPr>
      </w:pPr>
      <w:r>
        <w:rPr>
          <w:rFonts w:hint="eastAsia" w:ascii="宋体" w:hAnsi="宋体" w:eastAsia="宋体" w:cs="宋体"/>
          <w:sz w:val="24"/>
          <w:szCs w:val="24"/>
          <w:highlight w:val="none"/>
          <w:lang w:val="en-US" w:eastAsia="zh-CN"/>
        </w:rPr>
        <w:t>主剂胶桶规格195L，固化剂胶桶规格23L</w:t>
      </w:r>
      <w:r>
        <w:rPr>
          <w:rFonts w:hint="eastAsia" w:ascii="宋体" w:hAnsi="宋体" w:eastAsia="宋体" w:cs="宋体"/>
          <w:sz w:val="24"/>
          <w:szCs w:val="24"/>
          <w:highlight w:val="none"/>
          <w:lang w:eastAsia="zh-CN"/>
        </w:rPr>
        <w:t>；</w:t>
      </w:r>
    </w:p>
    <w:p>
      <w:pPr>
        <w:numPr>
          <w:ilvl w:val="0"/>
          <w:numId w:val="15"/>
        </w:num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AB组分分别</w:t>
      </w:r>
      <w:r>
        <w:rPr>
          <w:rFonts w:hint="eastAsia" w:ascii="宋体" w:hAnsi="宋体" w:eastAsia="宋体" w:cs="宋体"/>
          <w:sz w:val="24"/>
          <w:szCs w:val="24"/>
          <w:highlight w:val="none"/>
        </w:rPr>
        <w:t>有双泵自动切换功能，当其中一台涂胶泵工作到桶内</w:t>
      </w:r>
      <w:r>
        <w:rPr>
          <w:rFonts w:hint="eastAsia" w:ascii="宋体" w:hAnsi="宋体" w:eastAsia="宋体" w:cs="宋体"/>
          <w:sz w:val="24"/>
          <w:szCs w:val="24"/>
          <w:highlight w:val="none"/>
          <w:lang w:eastAsia="zh-CN"/>
        </w:rPr>
        <w:t>的</w:t>
      </w:r>
      <w:r>
        <w:rPr>
          <w:rFonts w:hint="eastAsia" w:ascii="宋体" w:hAnsi="宋体" w:eastAsia="宋体" w:cs="宋体"/>
          <w:sz w:val="24"/>
          <w:szCs w:val="24"/>
          <w:highlight w:val="none"/>
        </w:rPr>
        <w:t>胶</w:t>
      </w:r>
      <w:r>
        <w:rPr>
          <w:rFonts w:hint="eastAsia" w:ascii="宋体" w:hAnsi="宋体" w:eastAsia="宋体" w:cs="宋体"/>
          <w:sz w:val="24"/>
          <w:szCs w:val="24"/>
          <w:highlight w:val="none"/>
          <w:lang w:val="en-US" w:eastAsia="zh-CN"/>
        </w:rPr>
        <w:t>使</w:t>
      </w:r>
      <w:r>
        <w:rPr>
          <w:rFonts w:hint="eastAsia" w:ascii="宋体" w:hAnsi="宋体" w:eastAsia="宋体" w:cs="宋体"/>
          <w:sz w:val="24"/>
          <w:szCs w:val="24"/>
          <w:highlight w:val="none"/>
        </w:rPr>
        <w:t>用完毕</w:t>
      </w:r>
      <w:r>
        <w:rPr>
          <w:rFonts w:hint="eastAsia" w:ascii="宋体" w:hAnsi="宋体" w:eastAsia="宋体" w:cs="宋体"/>
          <w:sz w:val="24"/>
          <w:szCs w:val="24"/>
          <w:highlight w:val="none"/>
          <w:lang w:val="en-US" w:eastAsia="zh-CN"/>
        </w:rPr>
        <w:t>时</w:t>
      </w:r>
      <w:r>
        <w:rPr>
          <w:rFonts w:hint="eastAsia" w:ascii="宋体" w:hAnsi="宋体" w:eastAsia="宋体" w:cs="宋体"/>
          <w:sz w:val="24"/>
          <w:szCs w:val="24"/>
          <w:highlight w:val="none"/>
        </w:rPr>
        <w:t>，供胶系统自动切换到另一台涂胶泵，另一台涂胶泵即进入工作状态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同时</w:t>
      </w:r>
      <w:r>
        <w:rPr>
          <w:rFonts w:hint="eastAsia" w:ascii="宋体" w:hAnsi="宋体" w:eastAsia="宋体" w:cs="宋体"/>
          <w:sz w:val="24"/>
          <w:szCs w:val="24"/>
          <w:highlight w:val="none"/>
        </w:rPr>
        <w:t>对空胶桶有信号提示功能</w:t>
      </w:r>
      <w:r>
        <w:rPr>
          <w:rFonts w:hint="eastAsia" w:ascii="宋体" w:hAnsi="宋体" w:eastAsia="宋体" w:cs="宋体"/>
          <w:sz w:val="24"/>
          <w:szCs w:val="24"/>
          <w:highlight w:val="none"/>
          <w:lang w:eastAsia="zh-CN"/>
        </w:rPr>
        <w:t>；</w:t>
      </w:r>
    </w:p>
    <w:p>
      <w:pPr>
        <w:numPr>
          <w:ilvl w:val="0"/>
          <w:numId w:val="15"/>
        </w:num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胶泵本体（马达、</w:t>
      </w:r>
      <w:r>
        <w:rPr>
          <w:rFonts w:hint="eastAsia" w:ascii="宋体" w:hAnsi="宋体" w:eastAsia="宋体" w:cs="宋体"/>
          <w:sz w:val="24"/>
          <w:szCs w:val="24"/>
          <w:highlight w:val="none"/>
          <w:lang w:val="en-US" w:eastAsia="zh-CN"/>
        </w:rPr>
        <w:t>下缸体、压盘、加热</w:t>
      </w:r>
      <w:r>
        <w:rPr>
          <w:rFonts w:hint="eastAsia" w:ascii="宋体" w:hAnsi="宋体" w:eastAsia="宋体" w:cs="宋体"/>
          <w:sz w:val="24"/>
          <w:szCs w:val="24"/>
          <w:highlight w:val="none"/>
        </w:rPr>
        <w:t>胶管）采用原装进口产品，</w:t>
      </w:r>
      <w:r>
        <w:rPr>
          <w:rFonts w:hint="eastAsia" w:ascii="宋体" w:hAnsi="宋体" w:eastAsia="宋体" w:cs="宋体"/>
          <w:sz w:val="24"/>
          <w:szCs w:val="24"/>
          <w:highlight w:val="none"/>
          <w:lang w:eastAsia="zh-CN"/>
        </w:rPr>
        <w:t>投标方</w:t>
      </w:r>
      <w:r>
        <w:rPr>
          <w:rFonts w:hint="eastAsia" w:ascii="宋体" w:hAnsi="宋体" w:eastAsia="宋体" w:cs="宋体"/>
          <w:sz w:val="24"/>
          <w:szCs w:val="24"/>
          <w:highlight w:val="none"/>
        </w:rPr>
        <w:t>须在标书中明确设备各个部分的品牌及其原产地</w:t>
      </w:r>
      <w:r>
        <w:rPr>
          <w:rFonts w:hint="eastAsia" w:ascii="宋体" w:hAnsi="宋体" w:eastAsia="宋体" w:cs="宋体"/>
          <w:sz w:val="24"/>
          <w:szCs w:val="24"/>
          <w:highlight w:val="none"/>
          <w:lang w:eastAsia="zh-CN"/>
        </w:rPr>
        <w:t>；</w:t>
      </w:r>
    </w:p>
    <w:p>
      <w:pPr>
        <w:numPr>
          <w:ilvl w:val="0"/>
          <w:numId w:val="15"/>
        </w:num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主剂胶泵</w:t>
      </w:r>
      <w:r>
        <w:rPr>
          <w:rFonts w:hint="eastAsia" w:ascii="宋体" w:hAnsi="宋体" w:eastAsia="宋体" w:cs="宋体"/>
          <w:sz w:val="24"/>
          <w:szCs w:val="24"/>
          <w:highlight w:val="none"/>
        </w:rPr>
        <w:t>最大工作流量</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L/</w:t>
      </w:r>
      <w:r>
        <w:rPr>
          <w:rFonts w:hint="eastAsia" w:ascii="宋体" w:hAnsi="宋体" w:eastAsia="宋体" w:cs="宋体"/>
          <w:sz w:val="24"/>
          <w:szCs w:val="24"/>
          <w:highlight w:val="none"/>
          <w:lang w:val="en-US" w:eastAsia="zh-CN"/>
        </w:rPr>
        <w:t>min</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固化剂胶泵</w:t>
      </w:r>
      <w:r>
        <w:rPr>
          <w:rFonts w:hint="eastAsia" w:ascii="宋体" w:hAnsi="宋体" w:eastAsia="宋体" w:cs="宋体"/>
          <w:sz w:val="24"/>
          <w:szCs w:val="24"/>
          <w:highlight w:val="none"/>
        </w:rPr>
        <w:t>最大工作流量</w:t>
      </w:r>
      <w:r>
        <w:rPr>
          <w:rFonts w:hint="eastAsia" w:ascii="宋体" w:hAnsi="宋体" w:eastAsia="宋体" w:cs="宋体"/>
          <w:sz w:val="24"/>
          <w:szCs w:val="24"/>
          <w:highlight w:val="none"/>
          <w:lang w:val="en-US" w:eastAsia="zh-CN"/>
        </w:rPr>
        <w:t>≥0.2</w:t>
      </w:r>
      <w:r>
        <w:rPr>
          <w:rFonts w:hint="eastAsia" w:ascii="宋体" w:hAnsi="宋体" w:eastAsia="宋体" w:cs="宋体"/>
          <w:sz w:val="24"/>
          <w:szCs w:val="24"/>
          <w:highlight w:val="none"/>
        </w:rPr>
        <w:t>L/</w:t>
      </w:r>
      <w:r>
        <w:rPr>
          <w:rFonts w:hint="eastAsia" w:ascii="宋体" w:hAnsi="宋体" w:eastAsia="宋体" w:cs="宋体"/>
          <w:sz w:val="24"/>
          <w:szCs w:val="24"/>
          <w:highlight w:val="none"/>
          <w:lang w:val="en-US" w:eastAsia="zh-CN"/>
        </w:rPr>
        <w:t>min</w:t>
      </w:r>
      <w:r>
        <w:rPr>
          <w:rFonts w:hint="eastAsia" w:ascii="宋体" w:hAnsi="宋体" w:eastAsia="宋体" w:cs="宋体"/>
          <w:sz w:val="24"/>
          <w:szCs w:val="24"/>
          <w:highlight w:val="none"/>
        </w:rPr>
        <w:t>。</w:t>
      </w:r>
    </w:p>
    <w:p>
      <w:pPr>
        <w:numPr>
          <w:ilvl w:val="0"/>
          <w:numId w:val="15"/>
        </w:num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主剂胶泵压力比≥55：1，最大工作压力≥400bar。固化剂胶泵压力比≥20：1，最大工作压力≥300bar。</w:t>
      </w:r>
    </w:p>
    <w:p>
      <w:pPr>
        <w:numPr>
          <w:ilvl w:val="0"/>
          <w:numId w:val="15"/>
        </w:num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胶泵应能适应</w:t>
      </w:r>
      <w:r>
        <w:rPr>
          <w:rFonts w:hint="eastAsia" w:ascii="宋体" w:hAnsi="宋体" w:eastAsia="宋体" w:cs="宋体"/>
          <w:sz w:val="24"/>
          <w:szCs w:val="24"/>
          <w:highlight w:val="none"/>
          <w:lang w:eastAsia="zh-CN"/>
        </w:rPr>
        <w:t>招标方</w:t>
      </w:r>
      <w:r>
        <w:rPr>
          <w:rFonts w:hint="eastAsia" w:ascii="宋体" w:hAnsi="宋体" w:eastAsia="宋体" w:cs="宋体"/>
          <w:sz w:val="24"/>
          <w:szCs w:val="24"/>
          <w:highlight w:val="none"/>
        </w:rPr>
        <w:t>所用的胶</w:t>
      </w:r>
      <w:r>
        <w:rPr>
          <w:rFonts w:hint="eastAsia" w:ascii="宋体" w:hAnsi="宋体" w:eastAsia="宋体" w:cs="宋体"/>
          <w:sz w:val="24"/>
          <w:szCs w:val="24"/>
          <w:highlight w:val="none"/>
          <w:lang w:eastAsia="zh-CN"/>
        </w:rPr>
        <w:t>；</w:t>
      </w:r>
    </w:p>
    <w:p>
      <w:pPr>
        <w:numPr>
          <w:ilvl w:val="0"/>
          <w:numId w:val="15"/>
        </w:numPr>
        <w:spacing w:line="360" w:lineRule="auto"/>
        <w:ind w:firstLine="480" w:firstLineChars="200"/>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主剂</w:t>
      </w:r>
      <w:r>
        <w:rPr>
          <w:rFonts w:hint="eastAsia" w:ascii="宋体" w:hAnsi="宋体" w:eastAsia="宋体" w:cs="宋体"/>
          <w:sz w:val="24"/>
          <w:szCs w:val="24"/>
          <w:highlight w:val="none"/>
        </w:rPr>
        <w:t>胶泵采用全程加热方式，加热区域分为压盘、泵体</w:t>
      </w:r>
      <w:r>
        <w:rPr>
          <w:rFonts w:hint="eastAsia" w:ascii="宋体" w:hAnsi="宋体" w:eastAsia="宋体" w:cs="宋体"/>
          <w:sz w:val="24"/>
          <w:szCs w:val="24"/>
          <w:highlight w:val="none"/>
          <w:lang w:eastAsia="zh-CN"/>
        </w:rPr>
        <w:t>；</w:t>
      </w:r>
      <w:r>
        <w:rPr>
          <w:rFonts w:hint="eastAsia" w:ascii="宋体" w:hAnsi="宋体" w:eastAsia="宋体" w:cs="宋体"/>
          <w:b/>
          <w:bCs/>
          <w:sz w:val="24"/>
          <w:szCs w:val="24"/>
          <w:highlight w:val="none"/>
          <w:lang w:val="en-US" w:eastAsia="zh-CN"/>
        </w:rPr>
        <w:t>固化剂胶泵不带加热功能。</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每一台涂胶泵配备一套低液位报警、空气过滤装置及压力表；</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切换系统必须安装单向阀，确保工作状态的泵不向非工作状态泵体供胶</w:t>
      </w:r>
      <w:r>
        <w:rPr>
          <w:rFonts w:hint="eastAsia" w:ascii="宋体" w:hAnsi="宋体" w:eastAsia="宋体" w:cs="宋体"/>
          <w:sz w:val="24"/>
          <w:szCs w:val="24"/>
          <w:lang w:eastAsia="zh-CN"/>
        </w:rPr>
        <w:t>；</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如果需要，非工作状态的泵可以拆下进行清洗，另一台工作状态的泵不受影响；</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当正处于工作状态的泵出现故障，此时胶桶内胶并未用尽，可以通过手工切换使另一台泵进入工作状态；</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涂胶泵必须能够竖直固定到地面或者相应部位，当更换胶桶的时候或者自动涂胶系统工作的时候，胶泵不会发生任何位置移动或者晃动</w:t>
      </w:r>
      <w:r>
        <w:rPr>
          <w:rFonts w:hint="eastAsia" w:ascii="宋体" w:hAnsi="宋体" w:eastAsia="宋体" w:cs="宋体"/>
          <w:sz w:val="24"/>
          <w:szCs w:val="24"/>
          <w:lang w:eastAsia="zh-CN"/>
        </w:rPr>
        <w:t>。</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2.4.2胶管</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主剂胶管为</w:t>
      </w:r>
      <w:r>
        <w:rPr>
          <w:rFonts w:hint="eastAsia" w:ascii="宋体" w:hAnsi="宋体" w:eastAsia="宋体" w:cs="宋体"/>
          <w:sz w:val="24"/>
          <w:szCs w:val="24"/>
        </w:rPr>
        <w:t>耐高压加热胶管</w:t>
      </w:r>
      <w:r>
        <w:rPr>
          <w:rFonts w:hint="eastAsia" w:ascii="宋体" w:hAnsi="宋体" w:eastAsia="宋体" w:cs="宋体"/>
          <w:sz w:val="24"/>
          <w:szCs w:val="24"/>
          <w:lang w:eastAsia="zh-CN"/>
        </w:rPr>
        <w:t>，</w:t>
      </w:r>
      <w:r>
        <w:rPr>
          <w:rFonts w:hint="eastAsia" w:ascii="宋体" w:hAnsi="宋体" w:eastAsia="宋体" w:cs="宋体"/>
          <w:sz w:val="24"/>
          <w:szCs w:val="24"/>
        </w:rPr>
        <w:t>多层复合结构</w:t>
      </w:r>
      <w:r>
        <w:rPr>
          <w:rFonts w:hint="eastAsia" w:ascii="宋体" w:hAnsi="宋体" w:eastAsia="宋体" w:cs="宋体"/>
          <w:sz w:val="24"/>
          <w:szCs w:val="24"/>
          <w:lang w:eastAsia="zh-CN"/>
        </w:rPr>
        <w:t>，</w:t>
      </w:r>
      <w:r>
        <w:rPr>
          <w:rFonts w:hint="eastAsia" w:ascii="宋体" w:hAnsi="宋体" w:eastAsia="宋体" w:cs="宋体"/>
          <w:sz w:val="24"/>
          <w:szCs w:val="24"/>
        </w:rPr>
        <w:t>由耐磨供料层</w:t>
      </w:r>
      <w:r>
        <w:rPr>
          <w:rFonts w:hint="eastAsia" w:ascii="宋体" w:hAnsi="宋体" w:eastAsia="宋体" w:cs="宋体"/>
          <w:sz w:val="24"/>
          <w:szCs w:val="24"/>
          <w:lang w:eastAsia="zh-CN"/>
        </w:rPr>
        <w:t>、</w:t>
      </w:r>
      <w:r>
        <w:rPr>
          <w:rFonts w:hint="eastAsia" w:ascii="宋体" w:hAnsi="宋体" w:eastAsia="宋体" w:cs="宋体"/>
          <w:sz w:val="24"/>
          <w:szCs w:val="24"/>
        </w:rPr>
        <w:t>加热层</w:t>
      </w:r>
      <w:r>
        <w:rPr>
          <w:rFonts w:hint="eastAsia" w:ascii="宋体" w:hAnsi="宋体" w:eastAsia="宋体" w:cs="宋体"/>
          <w:sz w:val="24"/>
          <w:szCs w:val="24"/>
          <w:lang w:eastAsia="zh-CN"/>
        </w:rPr>
        <w:t>、</w:t>
      </w:r>
      <w:r>
        <w:rPr>
          <w:rFonts w:hint="eastAsia" w:ascii="宋体" w:hAnsi="宋体" w:eastAsia="宋体" w:cs="宋体"/>
          <w:sz w:val="24"/>
          <w:szCs w:val="24"/>
        </w:rPr>
        <w:t>保温层</w:t>
      </w:r>
      <w:r>
        <w:rPr>
          <w:rFonts w:hint="eastAsia" w:ascii="宋体" w:hAnsi="宋体" w:eastAsia="宋体" w:cs="宋体"/>
          <w:sz w:val="24"/>
          <w:szCs w:val="24"/>
          <w:lang w:eastAsia="zh-CN"/>
        </w:rPr>
        <w:t>、</w:t>
      </w:r>
      <w:r>
        <w:rPr>
          <w:rFonts w:hint="eastAsia" w:ascii="宋体" w:hAnsi="宋体" w:eastAsia="宋体" w:cs="宋体"/>
          <w:sz w:val="24"/>
          <w:szCs w:val="24"/>
        </w:rPr>
        <w:t>保护层及传感器组成。在配管、软管上设置加热装置，可对粘接剂实现加热、保温</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固化剂胶管为常温胶管。</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各供胶软、硬管</w:t>
      </w:r>
      <w:r>
        <w:rPr>
          <w:rFonts w:hint="eastAsia" w:ascii="宋体" w:hAnsi="宋体" w:eastAsia="宋体" w:cs="宋体"/>
          <w:sz w:val="24"/>
          <w:szCs w:val="24"/>
          <w:lang w:eastAsia="zh-CN"/>
        </w:rPr>
        <w:t>的</w:t>
      </w:r>
      <w:r>
        <w:rPr>
          <w:rFonts w:hint="eastAsia" w:ascii="宋体" w:hAnsi="宋体" w:eastAsia="宋体" w:cs="宋体"/>
          <w:sz w:val="24"/>
          <w:szCs w:val="24"/>
        </w:rPr>
        <w:t>供胶能力需能满足节拍要求</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主剂胶管</w:t>
      </w:r>
      <w:r>
        <w:rPr>
          <w:rFonts w:hint="eastAsia" w:ascii="宋体" w:hAnsi="宋体" w:eastAsia="宋体" w:cs="宋体"/>
          <w:sz w:val="24"/>
          <w:szCs w:val="24"/>
        </w:rPr>
        <w:t>都带加热器，温度可达70摄氏度,可调</w:t>
      </w:r>
      <w:r>
        <w:rPr>
          <w:rFonts w:hint="eastAsia" w:ascii="宋体" w:hAnsi="宋体" w:eastAsia="宋体" w:cs="宋体"/>
          <w:sz w:val="24"/>
          <w:szCs w:val="24"/>
          <w:lang w:eastAsia="zh-CN"/>
        </w:rPr>
        <w:t>；</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软管使用聚四氟乙烯管，并要求有良好的耐久性能。须合理固定并用平衡器悬挂，以防止管道弯折损坏</w:t>
      </w:r>
      <w:r>
        <w:rPr>
          <w:rFonts w:hint="eastAsia" w:ascii="宋体" w:hAnsi="宋体" w:eastAsia="宋体" w:cs="宋体"/>
          <w:sz w:val="24"/>
          <w:szCs w:val="24"/>
          <w:lang w:eastAsia="zh-CN"/>
        </w:rPr>
        <w:t>；</w:t>
      </w:r>
    </w:p>
    <w:p>
      <w:pPr>
        <w:numPr>
          <w:ilvl w:val="0"/>
          <w:numId w:val="16"/>
        </w:num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机器人手臂或涂胶枪上的胶管接头，需防止松动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配管不随涂胶枪一起旋转</w:t>
      </w:r>
      <w:r>
        <w:rPr>
          <w:rFonts w:hint="eastAsia" w:ascii="宋体" w:hAnsi="宋体" w:eastAsia="宋体" w:cs="宋体"/>
          <w:sz w:val="24"/>
          <w:szCs w:val="24"/>
          <w:highlight w:val="none"/>
          <w:lang w:eastAsia="zh-CN"/>
        </w:rPr>
        <w:t>。</w:t>
      </w:r>
    </w:p>
    <w:p>
      <w:pPr>
        <w:numPr>
          <w:ilvl w:val="0"/>
          <w:numId w:val="16"/>
        </w:num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胶</w:t>
      </w:r>
      <w:r>
        <w:rPr>
          <w:rFonts w:hint="eastAsia" w:ascii="宋体" w:hAnsi="宋体" w:eastAsia="宋体" w:cs="宋体"/>
          <w:sz w:val="24"/>
          <w:szCs w:val="24"/>
          <w:highlight w:val="none"/>
        </w:rPr>
        <w:t>管内壁需要特氟龙材质。</w:t>
      </w:r>
    </w:p>
    <w:p>
      <w:pPr>
        <w:numPr>
          <w:ilvl w:val="0"/>
          <w:numId w:val="0"/>
        </w:numPr>
        <w:spacing w:line="360" w:lineRule="auto"/>
        <w:ind w:firstLine="48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2.4.3计量系统</w:t>
      </w:r>
    </w:p>
    <w:p>
      <w:pPr>
        <w:numPr>
          <w:ilvl w:val="0"/>
          <w:numId w:val="0"/>
        </w:numPr>
        <w:spacing w:line="360" w:lineRule="auto"/>
        <w:ind w:firstLine="48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计量系统采用定量缸的形式，AB组分的定量缸可独立控制。</w:t>
      </w:r>
    </w:p>
    <w:p>
      <w:pPr>
        <w:numPr>
          <w:ilvl w:val="0"/>
          <w:numId w:val="17"/>
        </w:numPr>
        <w:spacing w:line="360" w:lineRule="auto"/>
        <w:ind w:firstLine="48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定量缸出胶压力≥300bar</w:t>
      </w:r>
    </w:p>
    <w:p>
      <w:pPr>
        <w:numPr>
          <w:ilvl w:val="0"/>
          <w:numId w:val="17"/>
        </w:numPr>
        <w:spacing w:line="360" w:lineRule="auto"/>
        <w:ind w:firstLine="48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主剂定量缸容量≥850ml，或采用双缸连续供胶的形式。固化剂定量缸≥100ml。</w:t>
      </w:r>
    </w:p>
    <w:p>
      <w:pPr>
        <w:numPr>
          <w:ilvl w:val="0"/>
          <w:numId w:val="17"/>
        </w:numPr>
        <w:spacing w:line="360" w:lineRule="auto"/>
        <w:ind w:firstLine="48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主剂定量缸出胶流量≥50ml/S,固化剂定量缸出胶流量≥5ml/S。</w:t>
      </w:r>
    </w:p>
    <w:p>
      <w:pPr>
        <w:numPr>
          <w:ilvl w:val="0"/>
          <w:numId w:val="17"/>
        </w:numPr>
        <w:spacing w:line="360" w:lineRule="auto"/>
        <w:ind w:firstLine="480"/>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计量精度：±1%（按体积）</w:t>
      </w:r>
    </w:p>
    <w:p>
      <w:pPr>
        <w:numPr>
          <w:ilvl w:val="0"/>
          <w:numId w:val="17"/>
        </w:numPr>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主剂定量缸带加热功能。</w:t>
      </w:r>
    </w:p>
    <w:p>
      <w:pPr>
        <w:numPr>
          <w:ilvl w:val="0"/>
          <w:numId w:val="17"/>
        </w:numPr>
        <w:spacing w:line="360" w:lineRule="auto"/>
        <w:ind w:firstLine="48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有已经投产的西卡50:1的双组分胶的应用案例。</w:t>
      </w:r>
    </w:p>
    <w:p>
      <w:pPr>
        <w:numPr>
          <w:ilvl w:val="0"/>
          <w:numId w:val="0"/>
        </w:numPr>
        <w:spacing w:line="360" w:lineRule="auto"/>
        <w:ind w:leftChars="0"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2.4.4涂胶枪</w:t>
      </w:r>
    </w:p>
    <w:p>
      <w:pPr>
        <w:numPr>
          <w:ilvl w:val="0"/>
          <w:numId w:val="18"/>
        </w:numPr>
        <w:spacing w:line="360" w:lineRule="auto"/>
        <w:ind w:left="-10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自动胶枪由自动带加热的旋转枪阀和专用胶嘴组成；</w:t>
      </w:r>
    </w:p>
    <w:p>
      <w:pPr>
        <w:numPr>
          <w:ilvl w:val="0"/>
          <w:numId w:val="18"/>
        </w:numPr>
        <w:spacing w:line="360" w:lineRule="auto"/>
        <w:ind w:left="-100" w:leftChars="0" w:firstLine="48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胶枪可360°自由旋转，由机器人软件控制同步，保证胶形、轨迹符合要求。 胶枪转动时，供胶胶管不得与胶枪一起转动；</w:t>
      </w:r>
    </w:p>
    <w:p>
      <w:pPr>
        <w:numPr>
          <w:ilvl w:val="0"/>
          <w:numId w:val="18"/>
        </w:numPr>
        <w:spacing w:line="360" w:lineRule="auto"/>
        <w:ind w:left="-100" w:leftChars="0" w:firstLine="48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将胶枪口作为唯一工具坐标点运行涂胶路径程序；</w:t>
      </w:r>
    </w:p>
    <w:p>
      <w:pPr>
        <w:numPr>
          <w:ilvl w:val="0"/>
          <w:numId w:val="18"/>
        </w:numPr>
        <w:spacing w:line="360" w:lineRule="auto"/>
        <w:ind w:left="-10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胶枪与胶嘴的连接设计合理，在固定处设置定位机构，方便胶嘴更换，并确保胶</w:t>
      </w:r>
      <w:r>
        <w:rPr>
          <w:rFonts w:hint="eastAsia" w:ascii="宋体" w:hAnsi="宋体" w:eastAsia="宋体" w:cs="宋体"/>
          <w:sz w:val="24"/>
          <w:szCs w:val="24"/>
          <w:highlight w:val="none"/>
          <w:lang w:val="en-US" w:eastAsia="zh-CN"/>
        </w:rPr>
        <w:t>嘴开口的相对位置固定；</w:t>
      </w:r>
      <w:r>
        <w:rPr>
          <w:rFonts w:hint="eastAsia" w:ascii="宋体" w:hAnsi="宋体" w:eastAsia="宋体" w:cs="宋体"/>
          <w:sz w:val="24"/>
          <w:szCs w:val="24"/>
          <w:highlight w:val="yellow"/>
          <w:lang w:val="en-US" w:eastAsia="zh-CN"/>
        </w:rPr>
        <w:t>混合胶管的长度和直径，要匹配胶型检测设备的要求，在实现检测的同时，不会与玻璃碰撞</w:t>
      </w:r>
      <w:r>
        <w:rPr>
          <w:rFonts w:hint="eastAsia" w:ascii="宋体" w:hAnsi="宋体" w:eastAsia="宋体" w:cs="宋体"/>
          <w:sz w:val="24"/>
          <w:szCs w:val="24"/>
          <w:highlight w:val="cyan"/>
          <w:lang w:val="en-US" w:eastAsia="zh-CN"/>
        </w:rPr>
        <w:t>（含全新一代中重卡曲面玻璃）</w:t>
      </w:r>
      <w:r>
        <w:rPr>
          <w:rFonts w:hint="eastAsia" w:ascii="宋体" w:hAnsi="宋体" w:eastAsia="宋体" w:cs="宋体"/>
          <w:sz w:val="24"/>
          <w:szCs w:val="24"/>
          <w:highlight w:val="yellow"/>
          <w:lang w:val="en-US" w:eastAsia="zh-CN"/>
        </w:rPr>
        <w:t>。混合胶管长度不短于Sulzer MS13-19G。</w:t>
      </w:r>
    </w:p>
    <w:p>
      <w:pPr>
        <w:numPr>
          <w:ilvl w:val="0"/>
          <w:numId w:val="18"/>
        </w:numPr>
        <w:spacing w:line="360" w:lineRule="auto"/>
        <w:ind w:left="-10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为保证胶条的质量，投标方可以使用标准胶嘴，不得划伤被涂物表面，也可以采用专用胶嘴，并提供相应图纸；</w:t>
      </w:r>
    </w:p>
    <w:p>
      <w:pPr>
        <w:numPr>
          <w:ilvl w:val="0"/>
          <w:numId w:val="18"/>
        </w:numPr>
        <w:spacing w:line="360" w:lineRule="auto"/>
        <w:ind w:left="-100" w:leftChars="0" w:firstLine="48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专用胶嘴根据胶型的要求定制设计；</w:t>
      </w:r>
    </w:p>
    <w:p>
      <w:pPr>
        <w:numPr>
          <w:ilvl w:val="0"/>
          <w:numId w:val="0"/>
        </w:num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w:t>
      </w:r>
      <w:r>
        <w:rPr>
          <w:rFonts w:hint="eastAsia" w:ascii="宋体" w:hAnsi="宋体" w:eastAsia="宋体" w:cs="宋体"/>
          <w:sz w:val="24"/>
          <w:szCs w:val="24"/>
        </w:rPr>
        <w:t>自动胶枪：采用旋转自动胶枪，品牌为国外原装进口</w:t>
      </w:r>
      <w:r>
        <w:rPr>
          <w:rFonts w:hint="eastAsia" w:ascii="宋体" w:hAnsi="宋体" w:eastAsia="宋体" w:cs="宋体"/>
          <w:sz w:val="24"/>
          <w:szCs w:val="24"/>
          <w:lang w:eastAsia="zh-CN"/>
        </w:rPr>
        <w:t>；</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2.4.5胶温控制系统（主剂及混合后）</w:t>
      </w:r>
    </w:p>
    <w:p>
      <w:pPr>
        <w:numPr>
          <w:ilvl w:val="0"/>
          <w:numId w:val="19"/>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加热控制器对胶料全程温控，且加热能力达到70℃的要求</w:t>
      </w:r>
      <w:r>
        <w:rPr>
          <w:rFonts w:hint="eastAsia" w:ascii="宋体" w:hAnsi="宋体" w:eastAsia="宋体" w:cs="宋体"/>
          <w:sz w:val="24"/>
          <w:szCs w:val="24"/>
          <w:lang w:eastAsia="zh-CN"/>
        </w:rPr>
        <w:t>；</w:t>
      </w:r>
    </w:p>
    <w:p>
      <w:pPr>
        <w:numPr>
          <w:ilvl w:val="0"/>
          <w:numId w:val="19"/>
        </w:num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加热器可按加热控制装置的控制，可任意设定胶泵、胶枪和胶管内胶的温度(15°～70°)，并通过显示器显示温度</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自压盘至胶枪至少划分8个温区，可分别设置和显示加热温度。</w:t>
      </w:r>
    </w:p>
    <w:p>
      <w:pPr>
        <w:numPr>
          <w:ilvl w:val="0"/>
          <w:numId w:val="19"/>
        </w:num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可设置预加热时间；在温度异常时必须向操作者声光报警，并系统暂停</w:t>
      </w:r>
      <w:r>
        <w:rPr>
          <w:rFonts w:hint="eastAsia" w:ascii="宋体" w:hAnsi="宋体" w:eastAsia="宋体" w:cs="宋体"/>
          <w:sz w:val="24"/>
          <w:szCs w:val="24"/>
          <w:highlight w:val="none"/>
          <w:lang w:eastAsia="zh-CN"/>
        </w:rPr>
        <w:t>；</w:t>
      </w:r>
    </w:p>
    <w:p>
      <w:pPr>
        <w:numPr>
          <w:ilvl w:val="0"/>
          <w:numId w:val="19"/>
        </w:num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加热器及热电偶温度探头应在标识位置，便于故障的查找、维修</w:t>
      </w:r>
      <w:r>
        <w:rPr>
          <w:rFonts w:hint="eastAsia" w:ascii="宋体" w:hAnsi="宋体" w:eastAsia="宋体" w:cs="宋体"/>
          <w:sz w:val="24"/>
          <w:szCs w:val="24"/>
          <w:highlight w:val="none"/>
          <w:lang w:eastAsia="zh-CN"/>
        </w:rPr>
        <w:t>；</w:t>
      </w:r>
    </w:p>
    <w:p>
      <w:pPr>
        <w:numPr>
          <w:ilvl w:val="0"/>
          <w:numId w:val="19"/>
        </w:num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系统采用恒温控制，</w:t>
      </w:r>
      <w:r>
        <w:rPr>
          <w:rFonts w:hint="eastAsia" w:ascii="宋体" w:hAnsi="宋体" w:eastAsia="宋体" w:cs="宋体"/>
          <w:sz w:val="24"/>
          <w:szCs w:val="24"/>
          <w:highlight w:val="none"/>
        </w:rPr>
        <w:t>使涂胶枪口的出胶温度不会超出</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0°至</w:t>
      </w:r>
      <w:r>
        <w:rPr>
          <w:rFonts w:hint="eastAsia" w:ascii="宋体" w:hAnsi="宋体" w:eastAsia="宋体" w:cs="宋体"/>
          <w:sz w:val="24"/>
          <w:szCs w:val="24"/>
          <w:highlight w:val="none"/>
          <w:lang w:val="en-US" w:eastAsia="zh-CN"/>
        </w:rPr>
        <w:t>40</w:t>
      </w:r>
      <w:r>
        <w:rPr>
          <w:rFonts w:hint="eastAsia" w:ascii="宋体" w:hAnsi="宋体" w:eastAsia="宋体" w:cs="宋体"/>
          <w:sz w:val="24"/>
          <w:szCs w:val="24"/>
          <w:highlight w:val="none"/>
        </w:rPr>
        <w:t>°的范围，以保证设备冬天的正常运行</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温控精度±2℃。</w:t>
      </w:r>
    </w:p>
    <w:p>
      <w:pPr>
        <w:numPr>
          <w:ilvl w:val="0"/>
          <w:numId w:val="19"/>
        </w:num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加热系统必须具有超温保护功能（即在恒温系统失效或损坏时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自动切断加热电源并向操作者发出声光报警）。</w:t>
      </w:r>
      <w:r>
        <w:rPr>
          <w:rFonts w:hint="eastAsia" w:ascii="宋体" w:hAnsi="宋体" w:eastAsia="宋体" w:cs="宋体"/>
          <w:sz w:val="24"/>
          <w:szCs w:val="24"/>
          <w:highlight w:val="none"/>
          <w:lang w:val="en-US" w:eastAsia="zh-CN"/>
        </w:rPr>
        <w:t xml:space="preserve"> </w:t>
      </w:r>
    </w:p>
    <w:p>
      <w:pPr>
        <w:numPr>
          <w:ilvl w:val="0"/>
          <w:numId w:val="19"/>
        </w:num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招标方后期要把胶枪改造为可摆动的结构（增加1轴），胶枪前的胶管要预留足够的长度。</w:t>
      </w:r>
    </w:p>
    <w:p>
      <w:pPr>
        <w:spacing w:line="360" w:lineRule="auto"/>
        <w:ind w:firstLine="482" w:firstLineChars="200"/>
        <w:outlineLvl w:val="3"/>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2.5胶型检测系统</w:t>
      </w:r>
    </w:p>
    <w:p>
      <w:pPr>
        <w:numPr>
          <w:ilvl w:val="0"/>
          <w:numId w:val="20"/>
        </w:num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szCs w:val="24"/>
          <w:highlight w:val="none"/>
          <w:lang w:val="en-US" w:eastAsia="zh-CN"/>
        </w:rPr>
        <w:t>实时检测胶条宽度、高度、断胶及胶条位置。</w:t>
      </w:r>
    </w:p>
    <w:p>
      <w:pPr>
        <w:numPr>
          <w:ilvl w:val="0"/>
          <w:numId w:val="0"/>
        </w:numPr>
        <w:spacing w:line="360" w:lineRule="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yellow"/>
          <w:lang w:val="en-US" w:eastAsia="zh-CN"/>
        </w:rPr>
        <w:t>玻璃涂胶前，在上边缘装有一道黑色压条。该压条与涂胶边缘距离4mm以上时，设备进行正常的胶宽检测。如果因产品尺寸和胶宽工艺要求导致间距不足4mm时，该段单独设置胶宽检测参数。</w:t>
      </w:r>
    </w:p>
    <w:p>
      <w:pPr>
        <w:numPr>
          <w:ilvl w:val="0"/>
          <w:numId w:val="0"/>
        </w:numPr>
        <w:spacing w:line="360" w:lineRule="auto"/>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 xml:space="preserve">      胶条底部中心线距离玻璃边缘15mm范围内，对胶条位置进行检测。玻璃上边缘装压条的部分，因压条边缘存在波浪型，该段单独设置检测参数。</w:t>
      </w:r>
    </w:p>
    <w:p>
      <w:pPr>
        <w:numPr>
          <w:ilvl w:val="0"/>
          <w:numId w:val="20"/>
        </w:num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szCs w:val="24"/>
          <w:highlight w:val="none"/>
          <w:lang w:val="en-US" w:eastAsia="zh-CN"/>
        </w:rPr>
        <w:t>检测系统采用在线随行实时检测，边涂胶边检测，涂完即检完，应完全不占用节拍时间。</w:t>
      </w:r>
    </w:p>
    <w:p>
      <w:pPr>
        <w:numPr>
          <w:ilvl w:val="0"/>
          <w:numId w:val="20"/>
        </w:num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检测精度可以达到±0.5mm。检测精度报警阈值可以灵活设置，以方便用户不断优化涂胶工艺。</w:t>
      </w:r>
    </w:p>
    <w:p>
      <w:pPr>
        <w:numPr>
          <w:ilvl w:val="0"/>
          <w:numId w:val="2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能够支持最大涂胶速度200mm/s。</w:t>
      </w:r>
    </w:p>
    <w:p>
      <w:pPr>
        <w:numPr>
          <w:ilvl w:val="0"/>
          <w:numId w:val="2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检测精度、速度不受环境亮度的影响。</w:t>
      </w:r>
    </w:p>
    <w:p>
      <w:pPr>
        <w:numPr>
          <w:ilvl w:val="0"/>
          <w:numId w:val="2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检测系统支持胶枪的多种涂胶姿态，不仅支持胶管垂直于玻璃表面的基本姿态，而且支持胶管在玻璃法线±20°范围内的涂胶姿态。</w:t>
      </w:r>
    </w:p>
    <w:p>
      <w:pPr>
        <w:numPr>
          <w:ilvl w:val="0"/>
          <w:numId w:val="2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采用激光测量的方式获取基础数据，不采用图像处理技术。</w:t>
      </w:r>
    </w:p>
    <w:p>
      <w:pPr>
        <w:numPr>
          <w:ilvl w:val="0"/>
          <w:numId w:val="2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涂胶时，系统自动实时检测胶型是否合格，如不合格，进行声光报警，并在出口大屏上显示胶型状态。</w:t>
      </w:r>
    </w:p>
    <w:p>
      <w:pPr>
        <w:numPr>
          <w:ilvl w:val="0"/>
          <w:numId w:val="0"/>
        </w:numPr>
        <w:spacing w:line="360" w:lineRule="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yellow"/>
          <w:lang w:val="en-US" w:eastAsia="zh-CN"/>
        </w:rPr>
        <w:t>该屏幕为独立显示屏，不是系统控制柜上的显示器。屏幕≥24英寸，海信、联想等国内主流品牌，显示胶型检测的不合格部分（可多画面显示）。</w:t>
      </w:r>
    </w:p>
    <w:p>
      <w:pPr>
        <w:numPr>
          <w:ilvl w:val="0"/>
          <w:numId w:val="2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胶型异常：采用较大的喇叭报警音，以便足够提醒到下一工位的工人。当检测系统判断出现断胶情况时，机器人继续完成当前玻璃涂胶，在废料工位展示涂胶情况，人工判断是否要继续粘接。</w:t>
      </w:r>
    </w:p>
    <w:p>
      <w:pPr>
        <w:numPr>
          <w:ilvl w:val="0"/>
          <w:numId w:val="2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开放胶型检测硬件及软件使用权限，并提供相应培训及技术指导，以此满足招标方后续对新增车型导入时的胶型检测自主应用需求。</w:t>
      </w:r>
    </w:p>
    <w:p>
      <w:pPr>
        <w:numPr>
          <w:ilvl w:val="0"/>
          <w:numId w:val="20"/>
        </w:numPr>
        <w:spacing w:line="360" w:lineRule="auto"/>
        <w:ind w:firstLine="480" w:firstLineChars="200"/>
        <w:rPr>
          <w:rFonts w:hint="eastAsia" w:ascii="宋体" w:hAnsi="宋体" w:eastAsia="宋体" w:cs="宋体"/>
          <w:sz w:val="24"/>
          <w:szCs w:val="24"/>
          <w:highlight w:val="cyan"/>
          <w:lang w:val="en-US" w:eastAsia="zh-CN"/>
        </w:rPr>
      </w:pPr>
      <w:r>
        <w:rPr>
          <w:rFonts w:hint="eastAsia" w:ascii="宋体" w:hAnsi="宋体" w:eastAsia="宋体" w:cs="宋体"/>
          <w:sz w:val="24"/>
          <w:szCs w:val="24"/>
          <w:highlight w:val="cyan"/>
          <w:lang w:val="en-US" w:eastAsia="zh-CN"/>
        </w:rPr>
        <w:t>胶型检测系统能兼容全新一代中重卡大曲面玻璃的使用需求。</w:t>
      </w:r>
    </w:p>
    <w:p>
      <w:pPr>
        <w:numPr>
          <w:ilvl w:val="0"/>
          <w:numId w:val="0"/>
        </w:numPr>
        <w:spacing w:line="360" w:lineRule="auto"/>
        <w:ind w:firstLine="481"/>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2.6烘干系统</w:t>
      </w:r>
    </w:p>
    <w:p>
      <w:pPr>
        <w:numPr>
          <w:ilvl w:val="0"/>
          <w:numId w:val="0"/>
        </w:numPr>
        <w:spacing w:line="360" w:lineRule="auto"/>
        <w:ind w:firstLine="481"/>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增加1台电热风机及1套风管，用于底涂的烘干。</w:t>
      </w:r>
    </w:p>
    <w:p>
      <w:pPr>
        <w:numPr>
          <w:ilvl w:val="0"/>
          <w:numId w:val="21"/>
        </w:numPr>
        <w:spacing w:line="360" w:lineRule="auto"/>
        <w:ind w:firstLine="481"/>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热风机功率≥5kW，最高加热温度≥80°，温度连续可调。出风量由投标单位自定。</w:t>
      </w:r>
    </w:p>
    <w:p>
      <w:pPr>
        <w:numPr>
          <w:ilvl w:val="0"/>
          <w:numId w:val="21"/>
        </w:numPr>
        <w:spacing w:line="360" w:lineRule="auto"/>
        <w:ind w:firstLine="481"/>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风管布置在玻璃对中台上，自下而上吹热玻璃上的底涂。风管上开多个出风口，出风口间距≤50mm，风口尺寸≥φ5mm。</w:t>
      </w:r>
    </w:p>
    <w:p>
      <w:pPr>
        <w:numPr>
          <w:ilvl w:val="0"/>
          <w:numId w:val="21"/>
        </w:numPr>
        <w:spacing w:line="360" w:lineRule="auto"/>
        <w:ind w:firstLine="481"/>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玻璃放置到对中台后，电热风机自动启动，开始加热玻璃，直至机器人抓取玻璃，停止加热。</w:t>
      </w:r>
    </w:p>
    <w:p>
      <w:pPr>
        <w:numPr>
          <w:ilvl w:val="0"/>
          <w:numId w:val="21"/>
        </w:numPr>
        <w:spacing w:line="360" w:lineRule="auto"/>
        <w:ind w:firstLine="481"/>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风机可设置加热运行时间，能倒计时自动停机。防止机器人故障不抓取玻璃时，过度烘干底涂。</w:t>
      </w:r>
    </w:p>
    <w:p>
      <w:pPr>
        <w:numPr>
          <w:ilvl w:val="0"/>
          <w:numId w:val="21"/>
        </w:numPr>
        <w:spacing w:line="360" w:lineRule="auto"/>
        <w:ind w:firstLine="481"/>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各出风口对应的玻璃加热区域，在10S的时间内，吹到玻璃上的热风温度≥50℃（以水银温度计在底涂附近测量）。</w:t>
      </w:r>
    </w:p>
    <w:p>
      <w:pPr>
        <w:numPr>
          <w:ilvl w:val="0"/>
          <w:numId w:val="21"/>
        </w:numPr>
        <w:spacing w:line="360" w:lineRule="auto"/>
        <w:ind w:firstLine="481"/>
        <w:rPr>
          <w:rFonts w:hint="default" w:ascii="宋体" w:hAnsi="宋体" w:eastAsia="宋体" w:cs="宋体"/>
          <w:b w:val="0"/>
          <w:bCs w:val="0"/>
          <w:sz w:val="24"/>
          <w:szCs w:val="24"/>
          <w:highlight w:val="yellow"/>
          <w:lang w:val="en-US" w:eastAsia="zh-CN"/>
        </w:rPr>
      </w:pPr>
      <w:r>
        <w:rPr>
          <w:rFonts w:hint="eastAsia" w:ascii="宋体" w:hAnsi="宋体" w:eastAsia="宋体" w:cs="宋体"/>
          <w:b w:val="0"/>
          <w:bCs w:val="0"/>
          <w:sz w:val="24"/>
          <w:szCs w:val="24"/>
          <w:highlight w:val="yellow"/>
          <w:lang w:val="en-US" w:eastAsia="zh-CN"/>
        </w:rPr>
        <w:t>为验证烘干系统的效果，烘干设备在11月初安装。为不影响项目的整体验收进度，试运行1周合格即判定为合格。</w:t>
      </w:r>
    </w:p>
    <w:p>
      <w:pPr>
        <w:numPr>
          <w:ilvl w:val="0"/>
          <w:numId w:val="21"/>
        </w:numPr>
        <w:spacing w:line="360" w:lineRule="auto"/>
        <w:ind w:firstLine="481"/>
        <w:rPr>
          <w:rFonts w:hint="default" w:ascii="宋体" w:hAnsi="宋体" w:eastAsia="宋体" w:cs="宋体"/>
          <w:b w:val="0"/>
          <w:bCs w:val="0"/>
          <w:sz w:val="24"/>
          <w:szCs w:val="24"/>
          <w:highlight w:val="yellow"/>
          <w:lang w:val="en-US" w:eastAsia="zh-CN"/>
        </w:rPr>
      </w:pPr>
      <w:r>
        <w:rPr>
          <w:rFonts w:hint="eastAsia" w:ascii="宋体" w:hAnsi="宋体" w:eastAsia="宋体" w:cs="宋体"/>
          <w:b w:val="0"/>
          <w:bCs w:val="0"/>
          <w:sz w:val="24"/>
          <w:szCs w:val="24"/>
          <w:highlight w:val="yellow"/>
          <w:lang w:val="en-US" w:eastAsia="zh-CN"/>
        </w:rPr>
        <w:t>如果在安装时，招标方的对中台和玻璃上线设备有变化，烘干设备需安装在招标方的新设备上，并实现与新设备联动。</w:t>
      </w:r>
    </w:p>
    <w:p>
      <w:pPr>
        <w:spacing w:line="360" w:lineRule="auto"/>
        <w:ind w:firstLine="482" w:firstLineChars="200"/>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2.7检修清胶系统</w:t>
      </w:r>
    </w:p>
    <w:p>
      <w:pPr>
        <w:numPr>
          <w:ilvl w:val="0"/>
          <w:numId w:val="22"/>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现有清胶桶为风刀形式，吹不净胶嘴的残胶，已影响到涂胶的胶型。</w:t>
      </w:r>
    </w:p>
    <w:p>
      <w:pPr>
        <w:numPr>
          <w:ilvl w:val="0"/>
          <w:numId w:val="22"/>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通过调整吹嘴角度、更换吹嘴、增加压力等措施，提升吹净的效果。残留胶量以不影响下一块玻璃涂胶为准。</w:t>
      </w:r>
    </w:p>
    <w:p>
      <w:pPr>
        <w:numPr>
          <w:ilvl w:val="0"/>
          <w:numId w:val="0"/>
        </w:numPr>
        <w:spacing w:line="360" w:lineRule="auto"/>
        <w:ind w:firstLine="482" w:firstLineChars="200"/>
        <w:rPr>
          <w:rFonts w:hint="eastAsia" w:ascii="宋体" w:hAnsi="宋体" w:eastAsia="宋体" w:cs="宋体"/>
          <w:b/>
          <w:bCs/>
          <w:sz w:val="24"/>
          <w:szCs w:val="24"/>
          <w:highlight w:val="lightGray"/>
          <w:lang w:val="en-US" w:eastAsia="zh-CN"/>
        </w:rPr>
      </w:pPr>
      <w:r>
        <w:rPr>
          <w:rFonts w:hint="eastAsia" w:ascii="宋体" w:hAnsi="宋体" w:eastAsia="宋体" w:cs="宋体"/>
          <w:b/>
          <w:bCs/>
          <w:sz w:val="24"/>
          <w:szCs w:val="24"/>
          <w:highlight w:val="lightGray"/>
          <w:lang w:val="en-US" w:eastAsia="zh-CN"/>
        </w:rPr>
        <w:t>2.8车型识别及定位系统</w:t>
      </w:r>
    </w:p>
    <w:p>
      <w:pPr>
        <w:numPr>
          <w:ilvl w:val="0"/>
          <w:numId w:val="0"/>
        </w:numPr>
        <w:spacing w:line="360" w:lineRule="auto"/>
        <w:ind w:firstLine="480" w:firstLineChars="200"/>
        <w:rPr>
          <w:rFonts w:hint="default" w:ascii="宋体" w:hAnsi="宋体" w:eastAsia="宋体" w:cs="宋体"/>
          <w:sz w:val="24"/>
          <w:szCs w:val="24"/>
          <w:highlight w:val="lightGray"/>
          <w:lang w:val="en-US" w:eastAsia="zh-CN"/>
        </w:rPr>
      </w:pPr>
      <w:r>
        <w:rPr>
          <w:rFonts w:hint="eastAsia" w:ascii="宋体" w:hAnsi="宋体" w:eastAsia="宋体" w:cs="宋体"/>
          <w:sz w:val="24"/>
          <w:szCs w:val="24"/>
          <w:highlight w:val="lightGray"/>
          <w:lang w:val="en-US" w:eastAsia="zh-CN"/>
        </w:rPr>
        <w:t>通过增加照明灯具、调整灯具的位置、优化车型定位逻辑的方法，提升现有车型的识别成功率。</w:t>
      </w:r>
      <w:r>
        <w:rPr>
          <w:rFonts w:hint="eastAsia" w:ascii="宋体" w:hAnsi="宋体" w:eastAsia="宋体" w:cs="宋体"/>
          <w:sz w:val="24"/>
          <w:szCs w:val="24"/>
          <w:highlight w:val="cyan"/>
          <w:lang w:val="en-US" w:eastAsia="zh-CN"/>
        </w:rPr>
        <w:t>另外，包含全新一代中重卡的车型识别及粗定位。</w:t>
      </w:r>
    </w:p>
    <w:p>
      <w:pPr>
        <w:numPr>
          <w:ilvl w:val="0"/>
          <w:numId w:val="23"/>
        </w:numPr>
        <w:spacing w:line="360" w:lineRule="auto"/>
        <w:ind w:firstLine="482" w:firstLineChars="20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交货期</w:t>
      </w:r>
    </w:p>
    <w:p>
      <w:pPr>
        <w:numPr>
          <w:ilvl w:val="0"/>
          <w:numId w:val="0"/>
        </w:numPr>
        <w:spacing w:line="360" w:lineRule="auto"/>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val="0"/>
          <w:bCs w:val="0"/>
          <w:sz w:val="24"/>
          <w:szCs w:val="24"/>
          <w:highlight w:val="none"/>
          <w:lang w:val="en-US" w:eastAsia="zh-CN"/>
        </w:rPr>
        <w:t xml:space="preserve"> 接到中标通知后，</w:t>
      </w:r>
      <w:r>
        <w:rPr>
          <w:rFonts w:hint="eastAsia" w:ascii="宋体" w:hAnsi="宋体" w:eastAsia="宋体" w:cs="宋体"/>
          <w:b w:val="0"/>
          <w:bCs w:val="0"/>
          <w:sz w:val="24"/>
          <w:szCs w:val="24"/>
          <w:highlight w:val="yellow"/>
          <w:lang w:val="en-US" w:eastAsia="zh-CN"/>
        </w:rPr>
        <w:t>2个月到货</w:t>
      </w:r>
      <w:r>
        <w:rPr>
          <w:rFonts w:hint="eastAsia" w:ascii="宋体" w:hAnsi="宋体" w:eastAsia="宋体" w:cs="宋体"/>
          <w:b w:val="0"/>
          <w:bCs w:val="0"/>
          <w:sz w:val="24"/>
          <w:szCs w:val="24"/>
          <w:highlight w:val="none"/>
          <w:lang w:val="en-US" w:eastAsia="zh-CN"/>
        </w:rPr>
        <w:t>，到货后1个月完成安装调试。</w:t>
      </w:r>
    </w:p>
    <w:p>
      <w:pPr>
        <w:keepNext/>
        <w:keepLines/>
        <w:spacing w:line="420" w:lineRule="exact"/>
        <w:ind w:left="479" w:leftChars="228" w:firstLine="0" w:firstLineChars="0"/>
        <w:outlineLvl w:val="2"/>
        <w:rPr>
          <w:rFonts w:hint="default"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lang w:val="en-US" w:eastAsia="zh-CN"/>
        </w:rPr>
        <w:t>五、验收及质保</w:t>
      </w:r>
      <w:r>
        <w:rPr>
          <w:rFonts w:hint="eastAsia" w:ascii="宋体" w:hAnsi="宋体" w:eastAsia="宋体" w:cs="宋体"/>
          <w:b/>
          <w:bCs/>
          <w:color w:val="000000"/>
          <w:sz w:val="24"/>
          <w:szCs w:val="24"/>
          <w:lang w:val="en-US" w:eastAsia="zh-CN"/>
        </w:rPr>
        <w:br w:type="textWrapping"/>
      </w:r>
      <w:r>
        <w:rPr>
          <w:rFonts w:hint="eastAsia" w:ascii="宋体" w:hAnsi="宋体" w:eastAsia="宋体" w:cs="宋体"/>
          <w:b w:val="0"/>
          <w:bCs w:val="0"/>
          <w:color w:val="000000"/>
          <w:sz w:val="24"/>
          <w:szCs w:val="24"/>
          <w:lang w:val="en-US" w:eastAsia="zh-CN"/>
        </w:rPr>
        <w:t>自终验收通过之日起，质保期365天，其他见“通用技术要求”部分。</w:t>
      </w:r>
    </w:p>
    <w:p>
      <w:pPr>
        <w:keepNext/>
        <w:keepLines/>
        <w:spacing w:line="420" w:lineRule="exact"/>
        <w:ind w:firstLine="482" w:firstLineChars="200"/>
        <w:jc w:val="center"/>
        <w:outlineLvl w:val="2"/>
        <w:rPr>
          <w:rFonts w:hint="eastAsia" w:ascii="宋体" w:hAnsi="宋体" w:eastAsia="宋体" w:cs="宋体"/>
          <w:b/>
          <w:bCs/>
          <w:color w:val="000000"/>
          <w:sz w:val="24"/>
          <w:szCs w:val="24"/>
          <w:lang w:val="en-US" w:eastAsia="zh-CN"/>
        </w:rPr>
      </w:pPr>
    </w:p>
    <w:p>
      <w:pPr>
        <w:keepNext/>
        <w:keepLines/>
        <w:spacing w:line="420" w:lineRule="exact"/>
        <w:ind w:firstLine="482" w:firstLineChars="200"/>
        <w:jc w:val="center"/>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第三章  通用技术要求</w:t>
      </w:r>
    </w:p>
    <w:p>
      <w:pPr>
        <w:keepNext w:val="0"/>
        <w:keepLines w:val="0"/>
        <w:pageBreakBefore w:val="0"/>
        <w:widowControl w:val="0"/>
        <w:kinsoku/>
        <w:wordWrap/>
        <w:overflowPunct/>
        <w:topLinePunct w:val="0"/>
        <w:autoSpaceDE/>
        <w:autoSpaceDN/>
        <w:bidi w:val="0"/>
        <w:adjustRightInd/>
        <w:snapToGrid/>
        <w:spacing w:before="291" w:beforeLines="100" w:line="360" w:lineRule="auto"/>
        <w:ind w:firstLine="482" w:firstLineChars="200"/>
        <w:textAlignment w:val="auto"/>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一、动力基本要求</w:t>
      </w:r>
    </w:p>
    <w:p>
      <w:pPr>
        <w:numPr>
          <w:ilvl w:val="0"/>
          <w:numId w:val="0"/>
        </w:numPr>
        <w:spacing w:line="36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动力电路从动力箱或屋架上插接母线接入，从车间配电柜到设备的电源的配线施工包含在报价范围内。设备控制柜内图纸要包含液体、气体管路图和加注时序图。张贴在柜的回路图，必须耐水耐腐蚀。</w:t>
      </w:r>
    </w:p>
    <w:p>
      <w:pPr>
        <w:numPr>
          <w:ilvl w:val="0"/>
          <w:numId w:val="24"/>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设计上须要确保电压在±15%范围内波动能正常使用。若需要提高电能质量，相关的电能处理设备需投标方负责提供。在考虑电流值的基础上，选用电线的种类和尺寸，不得出现电线选型错误导致发热及受到损伤。电缆的选型要考虑腐蚀性、频繁弯折、高温、强电磁干扰等恶劣使用工况，拖链和运动部位的电缆必须采用耐腐蚀或耐高温或耐弯折的高柔性屏蔽电缆等特殊电缆。</w:t>
      </w:r>
    </w:p>
    <w:p>
      <w:pPr>
        <w:numPr>
          <w:ilvl w:val="0"/>
          <w:numId w:val="24"/>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安装控制柜时要明确标示电缆去向的设备名称，设备侧的电缆上要明确标明回路的分电盘编号，标识清晰不易脱落。控制柜内应有回路图。</w:t>
      </w:r>
    </w:p>
    <w:p>
      <w:pPr>
        <w:numPr>
          <w:ilvl w:val="0"/>
          <w:numId w:val="24"/>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为避免电机用电源线对信号线产生干扰，需进行屏蔽处理，并留有必要间距，强弱电需分开布置。</w:t>
      </w:r>
    </w:p>
    <w:p>
      <w:pPr>
        <w:numPr>
          <w:ilvl w:val="0"/>
          <w:numId w:val="24"/>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设备须用地线可靠接地，禁止跨越布线。开关固定可靠，不能固定在安全网上。</w:t>
      </w:r>
    </w:p>
    <w:p>
      <w:pPr>
        <w:numPr>
          <w:ilvl w:val="0"/>
          <w:numId w:val="24"/>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禁止跨越布线：每一个接地点都必须通过单独的接地线接到总接地铜排的一个接地端子上。</w:t>
      </w:r>
    </w:p>
    <w:p>
      <w:pPr>
        <w:numPr>
          <w:ilvl w:val="0"/>
          <w:numId w:val="24"/>
        </w:numPr>
        <w:spacing w:line="360" w:lineRule="auto"/>
        <w:ind w:firstLine="480" w:firstLineChars="200"/>
        <w:rPr>
          <w:rFonts w:hint="eastAsia" w:ascii="宋体" w:hAnsi="宋体" w:eastAsia="宋体" w:cs="宋体"/>
          <w:sz w:val="24"/>
          <w:szCs w:val="24"/>
          <w:highlight w:val="none"/>
          <w:lang w:val="en-US" w:eastAsia="zh-CN"/>
        </w:rPr>
      </w:pPr>
      <w:bookmarkStart w:id="36" w:name="_Toc29499"/>
      <w:r>
        <w:rPr>
          <w:rFonts w:hint="eastAsia" w:ascii="宋体" w:hAnsi="宋体" w:eastAsia="宋体" w:cs="宋体"/>
          <w:sz w:val="24"/>
          <w:szCs w:val="24"/>
          <w:highlight w:val="none"/>
          <w:lang w:val="en-US" w:eastAsia="zh-CN"/>
        </w:rPr>
        <w:t>接地导体截面积选择：</w:t>
      </w:r>
      <w:bookmarkEnd w:id="36"/>
    </w:p>
    <w:p>
      <w:pPr>
        <w:numPr>
          <w:ilvl w:val="0"/>
          <w:numId w:val="0"/>
        </w:numPr>
        <w:spacing w:line="360" w:lineRule="auto"/>
        <w:ind w:firstLine="960" w:firstLineChars="400"/>
        <w:rPr>
          <w:rFonts w:hint="eastAsia" w:ascii="宋体" w:hAnsi="宋体" w:eastAsia="宋体" w:cs="宋体"/>
          <w:sz w:val="24"/>
          <w:szCs w:val="24"/>
          <w:highlight w:val="none"/>
          <w:lang w:val="en-US" w:eastAsia="zh-CN"/>
        </w:rPr>
      </w:pPr>
      <w:bookmarkStart w:id="37" w:name="_Toc21730"/>
      <w:r>
        <w:rPr>
          <w:rFonts w:hint="eastAsia" w:ascii="宋体" w:hAnsi="宋体" w:eastAsia="宋体" w:cs="宋体"/>
          <w:sz w:val="24"/>
          <w:szCs w:val="24"/>
          <w:highlight w:val="none"/>
          <w:lang w:val="en-US" w:eastAsia="zh-CN"/>
        </w:rPr>
        <w:t>—导体截面在16mm²以下时，接地导体截面等于最大的导体截面。</w:t>
      </w:r>
      <w:bookmarkEnd w:id="37"/>
    </w:p>
    <w:p>
      <w:pPr>
        <w:numPr>
          <w:ilvl w:val="0"/>
          <w:numId w:val="0"/>
        </w:numPr>
        <w:spacing w:line="360" w:lineRule="auto"/>
        <w:ind w:firstLine="960" w:firstLineChars="400"/>
        <w:rPr>
          <w:rFonts w:hint="eastAsia" w:ascii="宋体" w:hAnsi="宋体" w:eastAsia="宋体" w:cs="宋体"/>
          <w:sz w:val="24"/>
          <w:szCs w:val="24"/>
          <w:highlight w:val="none"/>
          <w:lang w:val="en-US" w:eastAsia="zh-CN"/>
        </w:rPr>
      </w:pPr>
      <w:bookmarkStart w:id="38" w:name="_Toc25669"/>
      <w:r>
        <w:rPr>
          <w:rFonts w:hint="eastAsia" w:ascii="宋体" w:hAnsi="宋体" w:eastAsia="宋体" w:cs="宋体"/>
          <w:sz w:val="24"/>
          <w:szCs w:val="24"/>
          <w:highlight w:val="none"/>
          <w:lang w:val="en-US" w:eastAsia="zh-CN"/>
        </w:rPr>
        <w:t>—导体截面在16～32mm²时，接地导体截面为16mm²。</w:t>
      </w:r>
      <w:bookmarkEnd w:id="38"/>
    </w:p>
    <w:p>
      <w:pPr>
        <w:numPr>
          <w:ilvl w:val="0"/>
          <w:numId w:val="0"/>
        </w:numPr>
        <w:spacing w:line="360" w:lineRule="auto"/>
        <w:ind w:firstLine="960" w:firstLineChars="400"/>
        <w:rPr>
          <w:rFonts w:hint="eastAsia" w:ascii="宋体" w:hAnsi="宋体" w:eastAsia="宋体" w:cs="宋体"/>
          <w:sz w:val="24"/>
          <w:szCs w:val="24"/>
          <w:highlight w:val="none"/>
          <w:lang w:val="en-US" w:eastAsia="zh-CN"/>
        </w:rPr>
      </w:pPr>
      <w:bookmarkStart w:id="39" w:name="_Toc17608"/>
      <w:r>
        <w:rPr>
          <w:rFonts w:hint="eastAsia" w:ascii="宋体" w:hAnsi="宋体" w:eastAsia="宋体" w:cs="宋体"/>
          <w:sz w:val="24"/>
          <w:szCs w:val="24"/>
          <w:highlight w:val="none"/>
          <w:lang w:val="en-US" w:eastAsia="zh-CN"/>
        </w:rPr>
        <w:t>—导体截面在32～120mm²时，接地导体截面等于相线截面的一半。</w:t>
      </w:r>
      <w:bookmarkEnd w:id="39"/>
    </w:p>
    <w:p>
      <w:pPr>
        <w:numPr>
          <w:ilvl w:val="0"/>
          <w:numId w:val="24"/>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长度1米以上的布线使用线槽或金属管走线，但不允许采用多段线拼接，不允许有端子、铜鼻子等接头。电缆桥架固定可靠，桥架转角、进出口等须用橡胶皮做防护处理，铺设必要的备用线。电缆线槽盖应能方便开启，禁止焊死；电缆线槽内预留至少20%的空间；电缆穿直钢管（最大穿满50%），未保护的弯曲部分或接入设备部分长度不应超过30cm，线槽接头处要用合适截面积的跨接地线，确保屏蔽效果。</w:t>
      </w:r>
    </w:p>
    <w:p>
      <w:pPr>
        <w:numPr>
          <w:ilvl w:val="0"/>
          <w:numId w:val="24"/>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电缆进出控制盒、控制柜、接线盒必须安装合适的防护套，过长的线路需处理。</w:t>
      </w:r>
    </w:p>
    <w:p>
      <w:pPr>
        <w:numPr>
          <w:ilvl w:val="0"/>
          <w:numId w:val="24"/>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系统需具备完善的互锁保护，需具备双向且不允许同时发生的移动、运转装置等的电气互锁控制，要求必须有硬件触点互锁，不能只有软件互锁。</w:t>
      </w:r>
    </w:p>
    <w:p>
      <w:pPr>
        <w:numPr>
          <w:ilvl w:val="0"/>
          <w:numId w:val="24"/>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作业员作业和设备动作时各传感器不能与工件和设备产生干涉。</w:t>
      </w:r>
    </w:p>
    <w:p>
      <w:pPr>
        <w:numPr>
          <w:ilvl w:val="0"/>
          <w:numId w:val="24"/>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各传感器的信号需采用独立的输入信号通道。</w:t>
      </w:r>
    </w:p>
    <w:p>
      <w:pPr>
        <w:numPr>
          <w:ilvl w:val="0"/>
          <w:numId w:val="24"/>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热继电器、按钮要单独走线，不可串联；禁止将两个感应开关或两个行程开关串联使用。</w:t>
      </w:r>
    </w:p>
    <w:p>
      <w:pPr>
        <w:numPr>
          <w:ilvl w:val="0"/>
          <w:numId w:val="24"/>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机器人上各类管线（含电缆、气管、液管、信号线等）采用专用管线包布置，用以保护管线不受损伤，提高使用寿命。</w:t>
      </w:r>
    </w:p>
    <w:p>
      <w:pPr>
        <w:numPr>
          <w:ilvl w:val="0"/>
          <w:numId w:val="0"/>
        </w:numPr>
        <w:spacing w:line="360" w:lineRule="auto"/>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二、自动化及通讯</w:t>
      </w:r>
    </w:p>
    <w:p>
      <w:pPr>
        <w:spacing w:line="360" w:lineRule="auto"/>
        <w:ind w:firstLine="482" w:firstLineChars="200"/>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1、控制柜和接线技术要求</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柜要具备良好强度，钢板厚度1.5mm以上；电源进线须从侧面进线，并敷设线槽。柜体下部有隔离层，进出电缆在下部与上部用隔离板分开；电气控制柜采用闭式电柜，防护等级IP54（电柜底部应封闭，防止潮气进入电柜内部）。在电柜上，除了操作和检测元件外，禁止安装其它元件。</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控制柜内设置照明灯具，灯具电压为220V AC，控制柜内备有插座（标准型），规格：AC220V，10A，单相，照明开闭与门连锁，各接触器必须安装浪涌吸收器。</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所有需要维修编程或监控的控制器，须预留固定的编程接口，编程接口不得被占用。</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电柜配有图纸盒及编程用电脑放置台面，配有电脑用电插孔。</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控制柜靠近物流通道侧，需加装防撞栏杆，规格中标后提供具体要求。</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控制柜进行整个系统的自动控制、检测、显示、保护、报警等功能，且能进行系统故障自诊断，警告会鸣响蜂鸣器，不同声音表示不同报警，相应各灯亮；</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盘内端子排留有20％的余量，各管线按类别采用不同颜色，并用线码在两端头编号。电箱内部的电线应用下列方式作标记：a)电线两端都作标记；b)同一根线两端标记相同；c)并联线标记相同；d)外部电缆及电箱里每根导线应根据接线图在其两端作标记。</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控制柜具有防倾倒措施。控制柜配备空调降温；控制柜内设置照明装置。系统各部件要求接地良好，电缆桥架、电柜、钢管之间必须做接地跨接。</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有输送线体按钮站、控制柜、线束桥架全部做防鼠、防尘、防水处理，防尘、防水标准符合国标要求，各设备和控制系统之间不允许有控制方式、接口不相容因素。为防止上述因素发生，主要产品使用同一厂家生产的系列化产品。所有电器、气动元件需要标识清晰，方便维修人员处理故障。地线联接和地极符合国际（ISO/IEC）标准规范，满足招标方使用要求。</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柜和接线，控制柜门应有导电门封垫条，以提高抗射频干扰（RFI）能力。控制柜的设计应满足电缆由柜底引入的要求，投标方提供的电缆接线应采用接线端子排方式，而非将电缆直接连接在元件端子上，内部接线应预置。对需散热的控制柜，投标方提供排气风扇和内部循环风扇。排气风扇和内部循环风扇应易于更换。风扇故障应有报警，在图纸会签和技术协议中注明。</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所提供的控制柜内应安装设温度检测开关，当温度过高时应进行报警。</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柜内的端子排应布置在易于安装接线的地方，即为离柜底300mm以上和距柜顶150mm以下，控制柜（控制台）尺寸、颜色、外形结构相同，其控制柜、控制台颜色由招标方确定。控制柜外壳刚度能满足现场要求（最小厚度≥2mm）。控制柜内附有关本控制柜情况的资料袋。</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所有外部接线至少满足1.5mm2线芯截面的接线要求。</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控制柜内的每个电气元件、端子排和端子都有清晰的标志，并与图纸和接线表相符。</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端子排、电缆夹头、电缆走线槽及接线槽均由“阻燃”型材料制造。</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控制系统使用的通讯、控制、电力电缆（包括两端的接触件），这些电缆符合国标防火标准。</w:t>
      </w:r>
    </w:p>
    <w:p>
      <w:pPr>
        <w:numPr>
          <w:ilvl w:val="0"/>
          <w:numId w:val="2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所有I/O模块和现场信号的接线接口应为接线端子排，卡件和端子排之间的连线在制造厂内接好，并在端子排上注有明显标记。</w:t>
      </w:r>
    </w:p>
    <w:p>
      <w:pPr>
        <w:numPr>
          <w:ilvl w:val="0"/>
          <w:numId w:val="25"/>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控制柜内应预留充足的空间，元器件安装裕量大于20%，使招标方能增加部分元器件，方便地接线、汇线、布线和查线。所有信号屏蔽层接地应在控制柜侧完成。</w:t>
      </w:r>
    </w:p>
    <w:p>
      <w:pPr>
        <w:spacing w:line="360" w:lineRule="auto"/>
        <w:ind w:firstLine="482" w:firstLineChars="200"/>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2、自动化控制系统技术要求</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设备自动化控制系统建议选用西门子S7-1500、</w:t>
      </w:r>
      <w:bookmarkStart w:id="40" w:name="_Hlk33008250"/>
      <w:r>
        <w:rPr>
          <w:rFonts w:hint="eastAsia" w:ascii="宋体" w:hAnsi="宋体" w:eastAsia="宋体" w:cs="宋体"/>
          <w:sz w:val="24"/>
          <w:szCs w:val="24"/>
          <w:highlight w:val="none"/>
          <w:lang w:val="en-US" w:eastAsia="zh-CN"/>
        </w:rPr>
        <w:t>S7-1200</w:t>
      </w:r>
      <w:bookmarkEnd w:id="40"/>
      <w:r>
        <w:rPr>
          <w:rFonts w:hint="eastAsia" w:ascii="宋体" w:hAnsi="宋体" w:eastAsia="宋体" w:cs="宋体"/>
          <w:sz w:val="24"/>
          <w:szCs w:val="24"/>
          <w:highlight w:val="none"/>
          <w:lang w:val="en-US" w:eastAsia="zh-CN"/>
        </w:rPr>
        <w:t>系列PLC产品，S7-1500PLC</w:t>
      </w:r>
      <w:bookmarkStart w:id="41" w:name="_Hlk33008272"/>
      <w:r>
        <w:rPr>
          <w:rFonts w:hint="eastAsia" w:ascii="宋体" w:hAnsi="宋体" w:eastAsia="宋体" w:cs="宋体"/>
          <w:sz w:val="24"/>
          <w:szCs w:val="24"/>
          <w:highlight w:val="none"/>
          <w:lang w:val="en-US" w:eastAsia="zh-CN"/>
        </w:rPr>
        <w:t>适用于大、中规模的自动化控制系统</w:t>
      </w:r>
      <w:bookmarkEnd w:id="41"/>
      <w:r>
        <w:rPr>
          <w:rFonts w:hint="eastAsia" w:ascii="宋体" w:hAnsi="宋体" w:eastAsia="宋体" w:cs="宋体"/>
          <w:sz w:val="24"/>
          <w:szCs w:val="24"/>
          <w:highlight w:val="none"/>
          <w:lang w:val="en-US" w:eastAsia="zh-CN"/>
        </w:rPr>
        <w:t>、车间设备信息采集主控系统，S7-1200PLC适用于中、小规模的自动化控制系统。可选产品西门子</w:t>
      </w:r>
      <w:bookmarkStart w:id="42" w:name="_Hlk33008353"/>
      <w:r>
        <w:rPr>
          <w:rFonts w:hint="eastAsia" w:ascii="宋体" w:hAnsi="宋体" w:eastAsia="宋体" w:cs="宋体"/>
          <w:sz w:val="24"/>
          <w:szCs w:val="24"/>
          <w:highlight w:val="none"/>
          <w:lang w:val="en-US" w:eastAsia="zh-CN"/>
        </w:rPr>
        <w:t>S7-400</w:t>
      </w:r>
      <w:bookmarkEnd w:id="42"/>
      <w:r>
        <w:rPr>
          <w:rFonts w:hint="eastAsia" w:ascii="宋体" w:hAnsi="宋体" w:eastAsia="宋体" w:cs="宋体"/>
          <w:sz w:val="24"/>
          <w:szCs w:val="24"/>
          <w:highlight w:val="none"/>
          <w:lang w:val="en-US" w:eastAsia="zh-CN"/>
        </w:rPr>
        <w:t>、S7-300、S7-200smart系列PLC，分别适用于大、中、小型自动化系统。</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数据采集与监视控制系统（SCADA）选用</w:t>
      </w: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"file:///D:\\陈东旭(D8BBC12EDF96)(10.21.232.254)\\2022-03-12%2013_03_15\\20220312机器人涂胶\\名词释义3.13.xlsx"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西门子WINCC组态</w:t>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，建议PLC和界面组态软件统一使用博图。</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编程组态工具：选用西门子TIA博图软件进行开发。PLC编程语言，符合</w:t>
      </w: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"file:///D:\\陈东旭(D8BBC12EDF96)(10.21.232.254)\\2022-03-12%2013_03_15\\20220312机器人涂胶\\名词释义3.13.xlsx"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GB/T 15969.3-2017 《可编程序控制器第3部分：编程语言》</w:t>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（等同采用IEC61131-3标准）的梯形图（优选）及其它PLC常用语言。</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控制系统应采取有效措施，以防止各类计算机病毒的侵害和PLC系统内各存储器的数据丢失。系统设计应满足工业信息安全标准、规范。</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系统应当留有以下的裕量：最忙时，CPU的负荷率不大于50%；内部存储器占用容量不大于50%，外部存储器占有容量不大于40%；通讯总线负荷率不大于40%；每种I/O点裕量大于20%（具体根据项目确定，下同）；I/O模块槽裕量大于20%（备用插槽应配置必要的硬件，保证今后插入模块即能投入运行）；电源负荷裕量大于40％〔备用模块插入后的裕量〕。以上这些参数都应是按系统正式投运时的最终容量计算的百分比值。</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控制系统包含在设备内，控制系统设计使用寿命应满足设备整体设计使用寿命的要求；独立采购的控制系统设计使用寿命应不低于15年,PLC所有模块（板）的</w:t>
      </w: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"file:///D:\\陈东旭(D8BBC12EDF96)(10.21.232.254)\\2022-03-12%2013_03_15\\20220312机器人涂胶\\名词释义3.13.xlsx"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平均无故障时间(MTBF)</w:t>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不小于20万小时。</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执行合同的过程中，随着项目设计进程和技术资料逐渐完善，在不超出I/O信号总量的前提下，硬件、软件冻结前后，招标方对I/O信号及控制要求的变更，投标方应及时更新设计。在保证大于20%备用量的前提下不增加费用。</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环境及抗干扰，系统能在电子噪声、射频干扰及振动都很大的现场环境中连续运行，且不降低系统的性能。</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系统设计应采用各种抗噪声技术，包括</w:t>
      </w: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"file:///D:\\陈东旭(D8BBC12EDF96)(10.21.232.254)\\2022-03-12%2013_03_15\\20220312机器人涂胶\\名词释义3.13.xlsx"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光电隔离</w:t>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、高共模抑制比、合理的接地和屏蔽。</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在距电子设备1.2m以外发出的工作频率达470MHz、功率输出达5W的电磁干扰和射频干扰，不会影响系统正常工作。系统应能在环境温度-20℃～45℃（控制站-20℃～50℃），相对湿度10～95%（不结露）的环境中连续运行。</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系统抗干扰能力：</w:t>
      </w: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"file:///D:\\陈东旭(D8BBC12EDF96)(10.21.232.254)\\2022-03-12%2013_03_15\\20220312机器人涂胶\\名词释义3.13.xlsx"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共模电压</w:t>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不小于500V，继电器输出350V；</w:t>
      </w: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"file:///D:\\陈东旭(D8BBC12EDF96)(10.21.232.254)\\2022-03-12%2013_03_15\\20220312机器人涂胶\\名词释义3.13.xlsx"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共模抑制比</w:t>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不小于120dB，50Hz；差模电压不小于60V；差模抑制比不小于60dB；50Hz。</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系统应留有与SAP、MES系统的通讯接口。如需要则应提供冗余光纤、通讯电缆和全部通讯附件。投标方应根据招标方提供的SAP、MES、ERP或工厂自动化数据集成商给出的数据采集规范，将设备的过程数据、状态数据整理，写入PLC的存储区。投标方应保证无条件的与招标方选定的数据采集系统集成商、SAP、MES、ERP等软件供应商配合。数据交换规范以SAP、MES系统供应商提出的标准为准（或集团公司制造执行系统现场设备数据交换（采集）标准）。</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设备控制系统向MES主控PLC（或</w:t>
      </w: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"file:///D:\\陈东旭(D8BBC12EDF96)(10.21.232.254)\\2022-03-12%2013_03_15\\20220312机器人涂胶\\名词释义3.13.xlsx"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上位机</w:t>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）提供的状态信息包含但不限于：设备启动、停机信息；上位机心跳：如0.5Hz,占空比50%的方波；</w:t>
      </w: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"file:///D:\\陈东旭(D8BBC12EDF96)(10.21.232.254)\\2022-03-12%2013_03_15\\20220312机器人涂胶\\名词释义3.13.xlsx"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控制器（PLC）心跳</w:t>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：如0.5Hz,占空比50%的方波；控制器与设备（如：机器人）、HMI等设备间的心跳信号由系统集成商确定；故障状态信息；故障代码；故障时间；加工时间；累计运行时间；生产计数（或加工循环计数）。</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设备控制系统应支持常用</w:t>
      </w: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"file:///D:\\陈东旭(D8BBC12EDF96)(10.21.232.254)\\2022-03-12%2013_03_15\\20220312机器人涂胶\\名词释义3.13.xlsx"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OPC服务器</w:t>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（如：SIMATIC NET）将PLC的内存数据映射到上位机的OPC服务器中；或与MES主控PLC通讯，实现MES对设备过程、状态信息数据采集和控制信息的交互。</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PLC控制系统应结合系统特点并按功能分散和物理分散的原则进行设计。</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内饰装配线控制系统与顶盖自动涂胶系统进行控制信息的互联，包括硬件的连接、信号的读取、控制程序的编制等内容。投标方应充分预留控制柜相关控制模块、信号模块等余量。同时满足PLC与PLC之间信息交互的要求，PLC与PLC之间交互必须采用PN/PN耦合器的方式，系统与系统有连锁需求的设备必须配备PN/PN耦合器、交换机等设备，满足PLC与PLC之间的交互需求，硬件由设备投标方提供。</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设备预留与安灯系统连接的接口。</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PLC程序要在本体中写入中文注释。</w:t>
      </w:r>
    </w:p>
    <w:p>
      <w:pPr>
        <w:numPr>
          <w:ilvl w:val="0"/>
          <w:numId w:val="2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系统各控制程序（如机器人、视觉、机器人等）需对招标方开放，方便自行招标方修改相关参数流程。</w:t>
      </w:r>
    </w:p>
    <w:p>
      <w:pPr>
        <w:spacing w:line="360" w:lineRule="auto"/>
        <w:ind w:firstLine="482" w:firstLineChars="200"/>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3、工业通讯技术要求</w:t>
      </w:r>
    </w:p>
    <w:p>
      <w:pPr>
        <w:numPr>
          <w:ilvl w:val="0"/>
          <w:numId w:val="27"/>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设备、控制系统宜选用工业以太网，小型设备可选用</w:t>
      </w: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"file:///D:\\陈东旭(D8BBC12EDF96)(10.21.232.254)\\2022-03-12%2013_03_15\\20220312机器人涂胶\\名词释义3.13.xlsx"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RS485串行总线通讯方式</w:t>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w:t>
      </w:r>
    </w:p>
    <w:p>
      <w:pPr>
        <w:numPr>
          <w:ilvl w:val="0"/>
          <w:numId w:val="27"/>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通讯协议：宜采用ProfiNet；设备因实现特定应用，必须采用其它通讯协议的，项目实施部门应当充分论证。但设备与上位机（系统）通讯协议宜采用工业以太网，</w:t>
      </w: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"file:///D:\\陈东旭(D8BBC12EDF96)(10.21.232.254)\\2022-03-12%2013_03_15\\20220312机器人涂胶\\名词释义3.13.xlsx"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ProfiNet</w:t>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通讯协议。</w:t>
      </w:r>
    </w:p>
    <w:p>
      <w:pPr>
        <w:numPr>
          <w:ilvl w:val="0"/>
          <w:numId w:val="27"/>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能源采集通讯协议：宜采用Modbus-RTU、Modbus-TCP。</w:t>
      </w:r>
    </w:p>
    <w:p>
      <w:pPr>
        <w:numPr>
          <w:ilvl w:val="0"/>
          <w:numId w:val="27"/>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电力计量采集通讯协议：可采用</w:t>
      </w: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"file:///D:\\陈东旭(D8BBC12EDF96)(10.21.232.254)\\2022-03-12%2013_03_15\\20220312机器人涂胶\\名词释义3.13.xlsx"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DL/T645-97、DL/T645-07</w:t>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规约。</w:t>
      </w:r>
    </w:p>
    <w:p>
      <w:pPr>
        <w:numPr>
          <w:ilvl w:val="0"/>
          <w:numId w:val="27"/>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设备过程数据、状态数据的采集，宜采用OPC方式。</w:t>
      </w:r>
    </w:p>
    <w:p>
      <w:pPr>
        <w:numPr>
          <w:ilvl w:val="0"/>
          <w:numId w:val="27"/>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每台（套）设备控制系统应预留一个工业以太网接口，用于与上位系统（如：MES）通讯。</w:t>
      </w:r>
    </w:p>
    <w:p>
      <w:pPr>
        <w:spacing w:line="360" w:lineRule="auto"/>
        <w:ind w:firstLine="482" w:firstLineChars="200"/>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4、工业信息安全技术要求</w:t>
      </w:r>
    </w:p>
    <w:p>
      <w:pPr>
        <w:numPr>
          <w:ilvl w:val="0"/>
          <w:numId w:val="28"/>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规划时通过工业控制网络边界防护设备对工业控制网络与企业网或互联网之间的边界进行安全防护，禁止没有防护的工业控制网络与互联网连接。</w:t>
      </w:r>
    </w:p>
    <w:p>
      <w:pPr>
        <w:numPr>
          <w:ilvl w:val="0"/>
          <w:numId w:val="28"/>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通过设置工业防火墙、网闸等设备对工业控制网络与企业网之间进行逻辑隔离安全防护。</w:t>
      </w:r>
    </w:p>
    <w:p>
      <w:pPr>
        <w:numPr>
          <w:ilvl w:val="0"/>
          <w:numId w:val="28"/>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投标方在设计规划时，对工程师站、工业数据库、服务器等核心工业控制软硬件所在区域应采取访问控制、视频监控、专人值守等物理安全防护措施。</w:t>
      </w:r>
    </w:p>
    <w:p>
      <w:pPr>
        <w:numPr>
          <w:ilvl w:val="0"/>
          <w:numId w:val="28"/>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较大规模的生产线，在工业主机登录、应用服务资源访问、SCADA软件登陆、控制系统维护等过程中应设计身份认证管理。对于关键设备、系统和平台的访问宜采用多因素认证。</w:t>
      </w:r>
    </w:p>
    <w:p>
      <w:pPr>
        <w:numPr>
          <w:ilvl w:val="0"/>
          <w:numId w:val="28"/>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根据应用的重要性，对关键系统、网络设备、控制系统组件选择冗余配置。</w:t>
      </w:r>
    </w:p>
    <w:p>
      <w:pPr>
        <w:numPr>
          <w:ilvl w:val="0"/>
          <w:numId w:val="28"/>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投标方在设计规划时，应考虑重要工业数据进行保护，定期备份关键业务数据。</w:t>
      </w:r>
    </w:p>
    <w:p>
      <w:pPr>
        <w:spacing w:line="360" w:lineRule="auto"/>
        <w:ind w:firstLine="482" w:firstLineChars="200"/>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5、电气通用标准 </w:t>
      </w:r>
    </w:p>
    <w:p>
      <w:pPr>
        <w:numPr>
          <w:ilvl w:val="0"/>
          <w:numId w:val="29"/>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所有线路采用多芯电缆（电缆不能有接头），各接点采用预铸式多线插头，减少运行故障。</w:t>
      </w:r>
    </w:p>
    <w:p>
      <w:pPr>
        <w:numPr>
          <w:ilvl w:val="0"/>
          <w:numId w:val="29"/>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系统电源、控制电源、操作电源应设单独保护开关。</w:t>
      </w:r>
    </w:p>
    <w:p>
      <w:pPr>
        <w:numPr>
          <w:ilvl w:val="0"/>
          <w:numId w:val="29"/>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设备电气控制系统中使用的所有导线应有不易脱落的线号及标签，设备各机械部件及各种电气元件（例如电磁阀、气缸等）应有与图纸相一致的标识。</w:t>
      </w:r>
    </w:p>
    <w:p>
      <w:pPr>
        <w:numPr>
          <w:ilvl w:val="0"/>
          <w:numId w:val="29"/>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控制柜内或电子接线盒中所有进\出导线必须通过端子排，进行中间过渡。</w:t>
      </w:r>
    </w:p>
    <w:p>
      <w:pPr>
        <w:numPr>
          <w:ilvl w:val="0"/>
          <w:numId w:val="29"/>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设备上使用的电缆可根据需要在空中或地面通过线槽进行铺设。线槽走向要合理，按直角坐标系铺设，转弯做成直角走向。在地面铺设的线槽盖板厚度≥6mm，强度应保证不发生人践踏使其变形现象。</w:t>
      </w:r>
    </w:p>
    <w:p>
      <w:pPr>
        <w:numPr>
          <w:ilvl w:val="0"/>
          <w:numId w:val="29"/>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在空中进入设备的各水管、气管开关要避免在电箱上方安装。</w:t>
      </w:r>
    </w:p>
    <w:p>
      <w:pPr>
        <w:numPr>
          <w:ilvl w:val="0"/>
          <w:numId w:val="29"/>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外部开关、电磁阀等元件要求采用预铸式电缆结构。</w:t>
      </w:r>
    </w:p>
    <w:p>
      <w:pPr>
        <w:numPr>
          <w:ilvl w:val="0"/>
          <w:numId w:val="29"/>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输入/输出使用独立的电源，输入/输出使用DC24V 开关电源，各个电源要求加独立的断路器保护。PLC输入/输出采用不同颜色的配线，并与动力线颜色不同。</w:t>
      </w:r>
    </w:p>
    <w:p>
      <w:pPr>
        <w:numPr>
          <w:ilvl w:val="0"/>
          <w:numId w:val="29"/>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凡是有人操作的位置都要求就近设急停及急停指示。急停应对全部的设备同时有效。</w:t>
      </w:r>
    </w:p>
    <w:p>
      <w:pPr>
        <w:numPr>
          <w:ilvl w:val="0"/>
          <w:numId w:val="29"/>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所有PLC应有20%的I/O点数余量。</w:t>
      </w:r>
    </w:p>
    <w:p>
      <w:pPr>
        <w:numPr>
          <w:ilvl w:val="0"/>
          <w:numId w:val="29"/>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控制气源设有气压低下报警功能。</w:t>
      </w:r>
    </w:p>
    <w:p>
      <w:pPr>
        <w:spacing w:line="360" w:lineRule="auto"/>
        <w:ind w:firstLine="482" w:firstLineChars="200"/>
        <w:outlineLvl w:val="3"/>
        <w:rPr>
          <w:rFonts w:hint="eastAsia" w:ascii="宋体" w:hAnsi="宋体" w:eastAsia="宋体" w:cs="宋体"/>
          <w:b/>
          <w:sz w:val="24"/>
          <w:szCs w:val="24"/>
          <w:lang w:val="en-US" w:eastAsia="zh-CN"/>
        </w:rPr>
      </w:pPr>
      <w:bookmarkStart w:id="43" w:name="_Toc17706"/>
      <w:r>
        <w:rPr>
          <w:rFonts w:hint="eastAsia" w:ascii="宋体" w:hAnsi="宋体" w:eastAsia="宋体" w:cs="宋体"/>
          <w:b/>
          <w:sz w:val="24"/>
          <w:szCs w:val="24"/>
          <w:lang w:val="en-US" w:eastAsia="zh-CN"/>
        </w:rPr>
        <w:t>6、其他要求</w:t>
      </w:r>
      <w:bookmarkEnd w:id="43"/>
    </w:p>
    <w:p>
      <w:pPr>
        <w:numPr>
          <w:ilvl w:val="0"/>
          <w:numId w:val="3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设备、作业用压缩空气，从车间主管道支阀门引出，阀门以下包含在报价范围内。设置U型管，球阀、三联件安装在U型管低端。</w:t>
      </w:r>
    </w:p>
    <w:p>
      <w:pPr>
        <w:numPr>
          <w:ilvl w:val="0"/>
          <w:numId w:val="3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有气缸加开口锁紧铁片，防止轴转动。按功能设置不同颜色气管。气缸磁感开关、电磁阀用插接件连接，以备方便更换。各类传感器、外装的执行器件尽可能采用方便快换的接线方式，推荐采用预制电缆、HARTING插头、快换接插件等方式。</w:t>
      </w:r>
    </w:p>
    <w:p>
      <w:pPr>
        <w:numPr>
          <w:ilvl w:val="0"/>
          <w:numId w:val="3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在各气动执行单元前设置阀门、气动三联件，在执行单元上配置调速阀、消音器。另需设置急速排气阀，以便可以迅速地切断气源。</w:t>
      </w:r>
    </w:p>
    <w:p>
      <w:pPr>
        <w:numPr>
          <w:ilvl w:val="0"/>
          <w:numId w:val="3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在比主配管低的作业区域的配管接续的地方安装手阀、压缩空气供给要能单独切断。空气配管尺寸，需根据各气动执行单元的必要流量来决定。</w:t>
      </w:r>
    </w:p>
    <w:p>
      <w:pPr>
        <w:numPr>
          <w:ilvl w:val="0"/>
          <w:numId w:val="3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对转动部分，不允许使用铜套，如有要用轴套的区域，优先选用带石墨润滑的轴套。在所有输送设备的行程终端都需安装相应的机械死挡，以阻挡因控制异常时被输送物品超行程运动造成事故。</w:t>
      </w:r>
    </w:p>
    <w:p>
      <w:pPr>
        <w:numPr>
          <w:ilvl w:val="0"/>
          <w:numId w:val="3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关于联接：</w:t>
      </w:r>
    </w:p>
    <w:p>
      <w:pPr>
        <w:pStyle w:val="127"/>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①所有设备间的联接需采用螺栓联接；螺栓或螺母强度等级：8.8级或8.8级以上，尽可能将螺栓向下安装，螺母在下。</w:t>
      </w:r>
    </w:p>
    <w:p>
      <w:pPr>
        <w:pStyle w:val="127"/>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②所有螺栓联接都需使用合适的止退措施：包括使用止退螺母，弹簧垫圈，双螺母等措施。螺栓紧固后需要露出不少于3牙。</w:t>
      </w:r>
    </w:p>
    <w:p>
      <w:pPr>
        <w:pStyle w:val="127"/>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③运动部件和易松动部件间的联接螺母必须采用锁紧螺母型，所有螺栓/螺母类拧紧需要进行扭矩检查确认，扭矩确认后进行 "I" 标记（扭矩不重要时小于M6 的除外），最终扭矩值双方会签确定。 </w:t>
      </w:r>
    </w:p>
    <w:p>
      <w:pPr>
        <w:pStyle w:val="127"/>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④钢结构部分，设备与工艺钢结构或厂房钢结构的所有连接部件必须使用止退措施，并进行双人确认并分别做油漆标记。</w:t>
      </w:r>
    </w:p>
    <w:p>
      <w:pPr>
        <w:pStyle w:val="127"/>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⑤在和其他钢结构相连时，要做到尽量螺栓连接，对于不便于螺栓连接的情况，可采用抱箍方式相连，未经招标方同意，严禁采用电焊方式连接。</w:t>
      </w:r>
    </w:p>
    <w:p>
      <w:pPr>
        <w:numPr>
          <w:ilvl w:val="0"/>
          <w:numId w:val="3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如有设备的安装或拆解需要特殊的非标工具，投标方必须告知并提供相应的专用工具及使用相关工具的必要培训。</w:t>
      </w:r>
    </w:p>
    <w:p>
      <w:pPr>
        <w:numPr>
          <w:ilvl w:val="0"/>
          <w:numId w:val="3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关于设备喷塑和烤漆：</w:t>
      </w:r>
    </w:p>
    <w:p>
      <w:pPr>
        <w:pStyle w:val="127"/>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①设备外观按招标方统一颜色要求喷塑和烤漆处理，参见《QZZ 30070—2020设备设施颜色标识要求》，颜色应具有耐久性。涂料厚度不小于4密耳。 </w:t>
      </w:r>
    </w:p>
    <w:p>
      <w:pPr>
        <w:pStyle w:val="127"/>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②钢结构、设备表面喷塑和烤漆前表面手工除锈表面质量达到St3级。</w:t>
      </w:r>
    </w:p>
    <w:p>
      <w:pPr>
        <w:pStyle w:val="127"/>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③喷塑和烤漆后外观要求均匀，颜色一致，无明显色差，涂覆的涂料要均匀，不允许有针孔，气泡，裂纹，脱落，流挂及漏涂等缺陷，并作到涂料不干不装配，不包装，产品在吊运中应妥善保护表面。</w:t>
      </w:r>
    </w:p>
    <w:p>
      <w:pPr>
        <w:pStyle w:val="127"/>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④外露加工、装配表面严禁喷塑和涂漆，一律涂SZ－1防锈油。</w:t>
      </w:r>
    </w:p>
    <w:p>
      <w:pPr>
        <w:pStyle w:val="127"/>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⑤安装现场不允许焊接和喷漆作业。</w:t>
      </w:r>
    </w:p>
    <w:p>
      <w:pPr>
        <w:numPr>
          <w:ilvl w:val="0"/>
          <w:numId w:val="3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若系统中涉及到特种设备，则需要有资质的投标方进行制作及安装，并负责办理特种设备的安装许可证书。</w:t>
      </w:r>
    </w:p>
    <w:p>
      <w:pPr>
        <w:numPr>
          <w:ilvl w:val="0"/>
          <w:numId w:val="3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关于安全防护设备和设施，投标方实际提供配置和数量需得到招标方确认。</w:t>
      </w:r>
    </w:p>
    <w:p>
      <w:pPr>
        <w:numPr>
          <w:ilvl w:val="0"/>
          <w:numId w:val="3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所有设备要考虑断压缩空气或断电后保证安全。</w:t>
      </w:r>
    </w:p>
    <w:p>
      <w:pPr>
        <w:numPr>
          <w:ilvl w:val="0"/>
          <w:numId w:val="3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投标方需负责本项目供货范围内所有设备设施的防撞装置。</w:t>
      </w:r>
    </w:p>
    <w:p>
      <w:pPr>
        <w:numPr>
          <w:ilvl w:val="0"/>
          <w:numId w:val="3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所有轨道和吊挂点设置二次保护钢丝绳。</w:t>
      </w:r>
    </w:p>
    <w:p>
      <w:pPr>
        <w:numPr>
          <w:ilvl w:val="0"/>
          <w:numId w:val="31"/>
        </w:numPr>
        <w:spacing w:line="360" w:lineRule="auto"/>
        <w:outlineLvl w:val="3"/>
        <w:rPr>
          <w:rFonts w:hint="eastAsia" w:ascii="宋体" w:hAnsi="宋体" w:eastAsia="宋体" w:cs="宋体"/>
          <w:b/>
          <w:sz w:val="24"/>
          <w:szCs w:val="24"/>
          <w:lang w:val="en-US" w:eastAsia="zh-CN"/>
        </w:rPr>
      </w:pPr>
      <w:bookmarkStart w:id="44" w:name="_Toc6510"/>
      <w:r>
        <w:rPr>
          <w:rFonts w:hint="eastAsia" w:ascii="宋体" w:hAnsi="宋体" w:eastAsia="宋体" w:cs="宋体"/>
          <w:b/>
          <w:sz w:val="24"/>
          <w:szCs w:val="24"/>
          <w:lang w:val="en-US" w:eastAsia="zh-CN"/>
        </w:rPr>
        <w:t>安全环保要求</w:t>
      </w:r>
      <w:bookmarkEnd w:id="44"/>
    </w:p>
    <w:p>
      <w:pPr>
        <w:numPr>
          <w:ilvl w:val="0"/>
          <w:numId w:val="0"/>
        </w:numPr>
        <w:spacing w:line="360" w:lineRule="auto"/>
        <w:outlineLvl w:val="3"/>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1、安全要求</w:t>
      </w:r>
    </w:p>
    <w:p>
      <w:pPr>
        <w:numPr>
          <w:ilvl w:val="0"/>
          <w:numId w:val="32"/>
        </w:numPr>
        <w:spacing w:line="360" w:lineRule="auto"/>
        <w:ind w:left="-48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在可动部位，应采取措施保证人体、配线和空气软管不被夹入或损伤。</w:t>
      </w:r>
    </w:p>
    <w:p>
      <w:pPr>
        <w:numPr>
          <w:ilvl w:val="0"/>
          <w:numId w:val="32"/>
        </w:numPr>
        <w:spacing w:line="360" w:lineRule="auto"/>
        <w:ind w:left="-48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具有断电断气即时保护；切断动力源时，设备应保持停止时的现状。</w:t>
      </w:r>
    </w:p>
    <w:p>
      <w:pPr>
        <w:numPr>
          <w:ilvl w:val="0"/>
          <w:numId w:val="32"/>
        </w:numPr>
        <w:spacing w:line="360" w:lineRule="auto"/>
        <w:ind w:left="-48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开关信号点、气缸电磁阀标贴注释，说明书中提供常见故障处理方法、各零件型号、零部件保养周期、油品型号及更换周期。</w:t>
      </w:r>
    </w:p>
    <w:p>
      <w:pPr>
        <w:numPr>
          <w:ilvl w:val="0"/>
          <w:numId w:val="32"/>
        </w:numPr>
        <w:spacing w:line="360" w:lineRule="auto"/>
        <w:ind w:left="-48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投标方需要对设备进行安全风险评估，并提供风险评估报告后方可进行生产和验收。</w:t>
      </w:r>
    </w:p>
    <w:p>
      <w:pPr>
        <w:numPr>
          <w:ilvl w:val="0"/>
          <w:numId w:val="32"/>
        </w:numPr>
        <w:spacing w:line="360" w:lineRule="auto"/>
        <w:ind w:left="-48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设备的设计、制造、安装必须遵从防火防爆、人身安全以及质量方面的相关国家法规和行业标准。</w:t>
      </w:r>
    </w:p>
    <w:p>
      <w:pPr>
        <w:numPr>
          <w:ilvl w:val="0"/>
          <w:numId w:val="32"/>
        </w:numPr>
        <w:spacing w:line="360" w:lineRule="auto"/>
        <w:ind w:left="-48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设备必须满足生产主线的工艺要求，性能可靠，使用维修方便，易于作业。</w:t>
      </w:r>
    </w:p>
    <w:p>
      <w:pPr>
        <w:numPr>
          <w:ilvl w:val="0"/>
          <w:numId w:val="32"/>
        </w:numPr>
        <w:spacing w:line="360" w:lineRule="auto"/>
        <w:ind w:left="-48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当机器人在运行时，安全门锁闭合，处于安全围栏外的操作人员不能进入机器人运行区域，若要进行检测或检修，必须通过区域操作面板上“请求进入”按钮，待机器人停到安全等待位置后方可按下“开门请求”按钮进入。通过光栅、红外线等检测人体在自动化区域内装置与启动联锁，使设备不能启动。</w:t>
      </w:r>
    </w:p>
    <w:p>
      <w:pPr>
        <w:numPr>
          <w:ilvl w:val="0"/>
          <w:numId w:val="32"/>
        </w:numPr>
        <w:spacing w:line="360" w:lineRule="auto"/>
        <w:ind w:left="-48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安全栏和光栅 </w:t>
      </w:r>
    </w:p>
    <w:p>
      <w:pPr>
        <w:numPr>
          <w:ilvl w:val="0"/>
          <w:numId w:val="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安全性是机器人工作站的一项重要指标，需充分考虑了安全因素，具体安全防护措施如下： </w:t>
      </w:r>
    </w:p>
    <w:p>
      <w:pPr>
        <w:numPr>
          <w:ilvl w:val="0"/>
          <w:numId w:val="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①机器人工作范围内由安全栏及相关设备形成一个封闭区域，当系统进入运行状态下，操作者误穿过安全光栅，发出的光线时，系统会自动停止工作和报警； </w:t>
      </w:r>
    </w:p>
    <w:p>
      <w:pPr>
        <w:numPr>
          <w:ilvl w:val="0"/>
          <w:numId w:val="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②安全门用于技术人员对机器人系统进行维护保养时的进出口，安全门通过安全锁与系统联锁，当安全门被非正常打开时，系统停止运行并报警。 </w:t>
      </w:r>
    </w:p>
    <w:p>
      <w:pPr>
        <w:numPr>
          <w:ilvl w:val="0"/>
          <w:numId w:val="0"/>
        </w:num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sz w:val="24"/>
          <w:szCs w:val="24"/>
          <w:highlight w:val="none"/>
          <w:lang w:val="en-US" w:eastAsia="zh-CN"/>
        </w:rPr>
        <w:t>③在工作站出口和入口设置安全光栅，设置安全门，进入维修时需挂安全锁</w:t>
      </w:r>
      <w:r>
        <w:rPr>
          <w:rFonts w:hint="eastAsia" w:ascii="宋体" w:hAnsi="宋体" w:eastAsia="宋体" w:cs="宋体"/>
          <w:color w:val="000000"/>
          <w:sz w:val="24"/>
          <w:szCs w:val="24"/>
          <w:lang w:val="en-US" w:eastAsia="zh-CN"/>
        </w:rPr>
        <w:t>。</w:t>
      </w:r>
    </w:p>
    <w:p>
      <w:pPr>
        <w:spacing w:line="360" w:lineRule="auto"/>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2、环保及施工安全要求</w:t>
      </w:r>
    </w:p>
    <w:p>
      <w:pPr>
        <w:numPr>
          <w:ilvl w:val="0"/>
          <w:numId w:val="33"/>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投标方施工前须提供安全施工技术方案（含危险源辨识与风险控制措施内容）及详细的安全施工措施并经招标方认可，并签订《安全协议》；</w:t>
      </w:r>
    </w:p>
    <w:p>
      <w:pPr>
        <w:numPr>
          <w:ilvl w:val="0"/>
          <w:numId w:val="33"/>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在工程施工时，投标方对所有的施工、制作和储存区域必须提供足够的消防、防护等安全设施，以确保安全，并对自己员工的安全负责，安装调试期间，出现安全事故由投标方负责；</w:t>
      </w:r>
    </w:p>
    <w:p>
      <w:pPr>
        <w:numPr>
          <w:ilvl w:val="0"/>
          <w:numId w:val="33"/>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投标方在整个项目过程中必须严格执行招标方要求及国家相关安全、消防、环保等法律、法规；</w:t>
      </w:r>
    </w:p>
    <w:p>
      <w:pPr>
        <w:numPr>
          <w:ilvl w:val="0"/>
          <w:numId w:val="33"/>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进入现场所有的特殊工种的操作人员必须持有相应的操作资格证（如电工、焊工、高空、叉车证等）；进入现场所有设备必须符合国家标准。</w:t>
      </w:r>
    </w:p>
    <w:p>
      <w:pPr>
        <w:numPr>
          <w:ilvl w:val="0"/>
          <w:numId w:val="33"/>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投标方需采用隔栏或围栏的形式将施工区域与生产区域隔开，不能影响生产；</w:t>
      </w:r>
    </w:p>
    <w:p>
      <w:pPr>
        <w:numPr>
          <w:ilvl w:val="0"/>
          <w:numId w:val="33"/>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没有正式的书面批准和现场的化学制品核准情况下，所有的化学制品不允许进入施工现场，现场不允许储藏化学制品、油漆、燃料等，严禁投标方带过量、超期的气瓶（氧气/乙炔）到现场(保证安全附件完好)，替换钢瓶前，投标方必须搬出空瓶；</w:t>
      </w:r>
    </w:p>
    <w:p>
      <w:pPr>
        <w:numPr>
          <w:ilvl w:val="0"/>
          <w:numId w:val="33"/>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设备的主机、附件及附属设施应具有安全防护措施，以避免操作者身体与设备的危险区域接触；</w:t>
      </w:r>
    </w:p>
    <w:p>
      <w:pPr>
        <w:numPr>
          <w:ilvl w:val="0"/>
          <w:numId w:val="33"/>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所有进入现场的人员必须穿戴合适的劳保用品，例如劳保鞋、安全帽、带侧面保护的眼镜等，并对现场施工做安全标识、警示标识；</w:t>
      </w:r>
    </w:p>
    <w:p>
      <w:pPr>
        <w:numPr>
          <w:ilvl w:val="0"/>
          <w:numId w:val="33"/>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所有的安全说明书及安全标志须符合国家标准，或用中文标识，在设备装运时，所有安全标志须由投标方贴好；</w:t>
      </w:r>
    </w:p>
    <w:p>
      <w:pPr>
        <w:numPr>
          <w:ilvl w:val="0"/>
          <w:numId w:val="33"/>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高处作业施工人员，严禁投掷物料，并做安全标识，做好防高处坠落、物体打击、防触电、防机械伤害的各项安全防护工作；</w:t>
      </w:r>
    </w:p>
    <w:p>
      <w:pPr>
        <w:numPr>
          <w:ilvl w:val="0"/>
          <w:numId w:val="33"/>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现场的各种安全防护设施，未经招标方批准，任何人不准随意拆改；</w:t>
      </w:r>
    </w:p>
    <w:p>
      <w:pPr>
        <w:numPr>
          <w:ilvl w:val="0"/>
          <w:numId w:val="33"/>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施工现场临时用电执行招标方要求及国家相关规定；</w:t>
      </w:r>
    </w:p>
    <w:p>
      <w:pPr>
        <w:numPr>
          <w:ilvl w:val="0"/>
          <w:numId w:val="33"/>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进入现场，需按要求办理出入证件，招标方协助相关证件的办理；</w:t>
      </w:r>
    </w:p>
    <w:p>
      <w:pPr>
        <w:numPr>
          <w:ilvl w:val="0"/>
          <w:numId w:val="33"/>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设备的安全与环保要求必须符合国家标准，在运转过程中应保证安全、可靠，无漏电、漏气现象；</w:t>
      </w:r>
    </w:p>
    <w:p>
      <w:pPr>
        <w:numPr>
          <w:ilvl w:val="0"/>
          <w:numId w:val="33"/>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投标方在安装现场施工时，必须严格遵守招标方制定的安全、防火规定和其它规章制度，遵守国家各项安全制度，并制订安全预案，文明施工，如因投标方施工不遵守规章制度而造成的各种损失由投标方负全责；</w:t>
      </w:r>
    </w:p>
    <w:p>
      <w:pPr>
        <w:pStyle w:val="127"/>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①投标方应保证设备安装现场的环境卫生，在设备及材料运进工厂时应确保不损坏车间地表面和厂房内设施并按招标方规定位置存放，不得在施工现场进行打磨、除锈。现场材料和设备要堆放整齐，生产、生活垃圾必须及时清理干净，为保证整个安装及调试过程中现场和设备内部的清洁，投标方应采取切实可行的措施，最终的深度清洁由投标方负责；       </w:t>
      </w:r>
    </w:p>
    <w:p>
      <w:pPr>
        <w:pStyle w:val="127"/>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②投标方在整个项目施工期间，所有设备、零部件、制成品、工具、材料等均由投标方看管、保护，损坏及丢失招标方一概不负责任，招标方只负责提供场所；</w:t>
      </w:r>
    </w:p>
    <w:p>
      <w:pPr>
        <w:pStyle w:val="127"/>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所有主要的有可能做的材料（支吊架、连杆等）的表面清洁、切割、打磨、焊接和总体制作、底漆涂刷等工作必须在安装场地以外进行；任何需在现场制作、管子切割、焊接、攻丝等工作必须在指定的区域进行；</w:t>
      </w:r>
    </w:p>
    <w:p>
      <w:pPr>
        <w:pStyle w:val="127"/>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④投标方在开工前须提供系统设计安全方案，设备安装调试阶段的高风险项目安全预案，预案中要体现安全措施费用及人员配置；</w:t>
      </w:r>
    </w:p>
    <w:p>
      <w:pPr>
        <w:pStyle w:val="127"/>
        <w:numPr>
          <w:ilvl w:val="0"/>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kern w:val="2"/>
          <w:sz w:val="24"/>
          <w:szCs w:val="24"/>
          <w:highlight w:val="none"/>
          <w:lang w:val="en-US" w:eastAsia="zh-CN" w:bidi="ar-SA"/>
        </w:rPr>
        <w:t xml:space="preserve">⑤设备安装调试过程中，投标方须听从招标方指挥。 </w:t>
      </w:r>
      <w:r>
        <w:rPr>
          <w:rFonts w:hint="eastAsia" w:ascii="宋体" w:hAnsi="宋体" w:eastAsia="宋体" w:cs="宋体"/>
          <w:sz w:val="24"/>
          <w:szCs w:val="24"/>
        </w:rPr>
        <w:t xml:space="preserve">  </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lang w:val="en-US" w:eastAsia="zh-CN"/>
        </w:rPr>
        <w:t>四、</w:t>
      </w:r>
      <w:r>
        <w:rPr>
          <w:rFonts w:hint="eastAsia" w:ascii="宋体" w:hAnsi="宋体" w:eastAsia="宋体" w:cs="宋体"/>
          <w:b/>
          <w:sz w:val="24"/>
          <w:szCs w:val="24"/>
        </w:rPr>
        <w:t>其他</w:t>
      </w:r>
    </w:p>
    <w:p>
      <w:pPr>
        <w:spacing w:line="360" w:lineRule="auto"/>
        <w:ind w:firstLine="482" w:firstLineChars="200"/>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1、全</w:t>
      </w:r>
      <w:bookmarkStart w:id="45" w:name="_Hlk33102557"/>
      <w:r>
        <w:rPr>
          <w:rFonts w:hint="eastAsia" w:ascii="宋体" w:hAnsi="宋体" w:eastAsia="宋体" w:cs="宋体"/>
          <w:b/>
          <w:sz w:val="24"/>
          <w:szCs w:val="24"/>
          <w:lang w:val="en-US" w:eastAsia="zh-CN"/>
        </w:rPr>
        <w:t>生命周期费用（LCC）</w:t>
      </w:r>
      <w:bookmarkEnd w:id="45"/>
    </w:p>
    <w:p>
      <w:pPr>
        <w:numPr>
          <w:ilvl w:val="0"/>
          <w:numId w:val="34"/>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投标人应测算设备的</w:t>
      </w:r>
      <w:bookmarkStart w:id="46" w:name="_Hlk33015261"/>
      <w:r>
        <w:rPr>
          <w:rFonts w:hint="eastAsia" w:ascii="宋体" w:hAnsi="宋体" w:eastAsia="宋体" w:cs="宋体"/>
          <w:sz w:val="24"/>
          <w:szCs w:val="24"/>
          <w:highlight w:val="none"/>
          <w:lang w:val="en-US" w:eastAsia="zh-CN"/>
        </w:rPr>
        <w:t>全生命周期费用（LCC）</w:t>
      </w:r>
      <w:bookmarkEnd w:id="46"/>
      <w:r>
        <w:rPr>
          <w:rFonts w:hint="eastAsia" w:ascii="宋体" w:hAnsi="宋体" w:eastAsia="宋体" w:cs="宋体"/>
          <w:sz w:val="24"/>
          <w:szCs w:val="24"/>
          <w:highlight w:val="none"/>
          <w:lang w:val="en-US" w:eastAsia="zh-CN"/>
        </w:rPr>
        <w:t>、运行维持费用及费用分解构成，并在投标文件中列出。</w:t>
      </w:r>
    </w:p>
    <w:p>
      <w:pPr>
        <w:numPr>
          <w:ilvl w:val="0"/>
          <w:numId w:val="34"/>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全生命周期费用（LCC）主要指设备的维持费用，包括设备在设计使用寿命内的备品备件投入，日常维护（维保）费用，大（项）修费用，和正常使用的能源费用，按年列出。</w:t>
      </w:r>
    </w:p>
    <w:p>
      <w:pPr>
        <w:spacing w:line="360" w:lineRule="auto"/>
        <w:ind w:firstLine="482" w:firstLineChars="200"/>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2、节能</w:t>
      </w:r>
    </w:p>
    <w:p>
      <w:pPr>
        <w:numPr>
          <w:ilvl w:val="0"/>
          <w:numId w:val="3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优先采购节能产品和环境标志产品。可参照节能机电设备（产品）推荐目录（工信部）、“能效之星”产品目录（工信部）。</w:t>
      </w:r>
    </w:p>
    <w:p>
      <w:pPr>
        <w:numPr>
          <w:ilvl w:val="0"/>
          <w:numId w:val="3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建议电动机等部件的能效等级不低于国家</w:t>
      </w:r>
      <w:bookmarkStart w:id="47" w:name="_Hlk33093381"/>
      <w:r>
        <w:rPr>
          <w:rFonts w:hint="eastAsia" w:ascii="宋体" w:hAnsi="宋体" w:eastAsia="宋体" w:cs="宋体"/>
          <w:sz w:val="24"/>
          <w:szCs w:val="24"/>
          <w:highlight w:val="none"/>
          <w:lang w:val="en-US" w:eastAsia="zh-CN"/>
        </w:rPr>
        <w:t>现行标准二级能效</w:t>
      </w:r>
      <w:bookmarkEnd w:id="47"/>
      <w:r>
        <w:rPr>
          <w:rFonts w:hint="eastAsia" w:ascii="宋体" w:hAnsi="宋体" w:eastAsia="宋体" w:cs="宋体"/>
          <w:sz w:val="24"/>
          <w:szCs w:val="24"/>
          <w:highlight w:val="none"/>
          <w:lang w:val="en-US" w:eastAsia="zh-CN"/>
        </w:rPr>
        <w:t>。进口产品的能效不应低于原产国现行能效标准二级能效。如：对应欧洲标准电动机的能效等级不低于IE3。</w:t>
      </w:r>
    </w:p>
    <w:p>
      <w:pPr>
        <w:numPr>
          <w:ilvl w:val="0"/>
          <w:numId w:val="35"/>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不应采购列入国家高耗能落后机电设备（产品）淘汰目录的产品（工信部）</w:t>
      </w:r>
    </w:p>
    <w:p>
      <w:pPr>
        <w:numPr>
          <w:ilvl w:val="0"/>
          <w:numId w:val="35"/>
        </w:num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电机功率≥7.5kw，必须选用一级能效;电机功率&lt;7.5kw，优先选用一级能效;其中对能源供应类设备及年运行时间≥2000h工艺设备的电机必须选用一级能效:杜绝选用三级能效。</w:t>
      </w:r>
    </w:p>
    <w:p>
      <w:pPr>
        <w:spacing w:line="360" w:lineRule="auto"/>
        <w:ind w:firstLine="482" w:firstLineChars="200"/>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3、能源计量</w:t>
      </w:r>
    </w:p>
    <w:p>
      <w:pPr>
        <w:numPr>
          <w:ilvl w:val="0"/>
          <w:numId w:val="3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主要用能设备应当按照GB17167《用能单位能源计量器具配备和管理通则》的要求配备能源计量器具。</w:t>
      </w:r>
    </w:p>
    <w:p>
      <w:pPr>
        <w:numPr>
          <w:ilvl w:val="0"/>
          <w:numId w:val="3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当主要用能设备能源消耗量（或功率）达到下列限定值时，应当配备能源计量器具：</w:t>
      </w:r>
    </w:p>
    <w:p>
      <w:pPr>
        <w:numPr>
          <w:ilvl w:val="0"/>
          <w:numId w:val="0"/>
        </w:numPr>
        <w:spacing w:line="360" w:lineRule="auto"/>
        <w:ind w:firstLine="720" w:firstLineChars="3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--电力：100KW; 多功能电能表的准确度等级应不低于2.0级。</w:t>
      </w:r>
    </w:p>
    <w:p>
      <w:pPr>
        <w:numPr>
          <w:ilvl w:val="0"/>
          <w:numId w:val="0"/>
        </w:numPr>
        <w:spacing w:line="360" w:lineRule="auto"/>
        <w:ind w:firstLine="720" w:firstLineChars="3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--天然气：100Nm3/h; 天然气计量表</w:t>
      </w:r>
      <w:bookmarkStart w:id="48" w:name="_Hlk33434747"/>
      <w:r>
        <w:rPr>
          <w:rFonts w:hint="eastAsia" w:ascii="宋体" w:hAnsi="宋体" w:eastAsia="宋体" w:cs="宋体"/>
          <w:sz w:val="24"/>
          <w:szCs w:val="24"/>
          <w:highlight w:val="none"/>
          <w:lang w:val="en-US" w:eastAsia="zh-CN"/>
        </w:rPr>
        <w:t>的</w:t>
      </w:r>
      <w:bookmarkStart w:id="49" w:name="_Hlk33434911"/>
      <w:r>
        <w:rPr>
          <w:rFonts w:hint="eastAsia" w:ascii="宋体" w:hAnsi="宋体" w:eastAsia="宋体" w:cs="宋体"/>
          <w:sz w:val="24"/>
          <w:szCs w:val="24"/>
          <w:highlight w:val="none"/>
          <w:lang w:val="en-US" w:eastAsia="zh-CN"/>
        </w:rPr>
        <w:t>准确度等级应不低于2.0</w:t>
      </w:r>
      <w:bookmarkEnd w:id="48"/>
      <w:r>
        <w:rPr>
          <w:rFonts w:hint="eastAsia" w:ascii="宋体" w:hAnsi="宋体" w:eastAsia="宋体" w:cs="宋体"/>
          <w:sz w:val="24"/>
          <w:szCs w:val="24"/>
          <w:highlight w:val="none"/>
          <w:lang w:val="en-US" w:eastAsia="zh-CN"/>
        </w:rPr>
        <w:t>级</w:t>
      </w:r>
      <w:bookmarkEnd w:id="49"/>
      <w:r>
        <w:rPr>
          <w:rFonts w:hint="eastAsia" w:ascii="宋体" w:hAnsi="宋体" w:eastAsia="宋体" w:cs="宋体"/>
          <w:sz w:val="24"/>
          <w:szCs w:val="24"/>
          <w:highlight w:val="none"/>
          <w:lang w:val="en-US" w:eastAsia="zh-CN"/>
        </w:rPr>
        <w:t>。</w:t>
      </w:r>
    </w:p>
    <w:p>
      <w:pPr>
        <w:numPr>
          <w:ilvl w:val="0"/>
          <w:numId w:val="0"/>
        </w:numPr>
        <w:spacing w:line="360" w:lineRule="auto"/>
        <w:ind w:firstLine="720" w:firstLineChars="3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--热水：7MW；热量计量表的准确度等级应不低于2.0级。</w:t>
      </w:r>
    </w:p>
    <w:p>
      <w:pPr>
        <w:numPr>
          <w:ilvl w:val="0"/>
          <w:numId w:val="0"/>
        </w:numPr>
        <w:spacing w:line="360" w:lineRule="auto"/>
        <w:ind w:firstLine="720" w:firstLineChars="3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--水：1t/h; 水计量表的准确度等级，管径不大于250mm应不低于2.5级。管径大于250mm应不低于1.5级。</w:t>
      </w:r>
    </w:p>
    <w:p>
      <w:pPr>
        <w:numPr>
          <w:ilvl w:val="0"/>
          <w:numId w:val="0"/>
        </w:numPr>
        <w:spacing w:line="360" w:lineRule="auto"/>
        <w:ind w:firstLine="720" w:firstLineChars="3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--其他：29.26GJ/h；计量表的准确度等级应不低于2.0级。</w:t>
      </w:r>
    </w:p>
    <w:p>
      <w:pPr>
        <w:numPr>
          <w:ilvl w:val="0"/>
          <w:numId w:val="3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设备能源消耗（或功率）虽达不到8.4.2的要求，但对需要测量能源消耗或能效的关键设备应当加装能源计量仪表。</w:t>
      </w:r>
    </w:p>
    <w:p>
      <w:pPr>
        <w:numPr>
          <w:ilvl w:val="0"/>
          <w:numId w:val="3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能源计量仪表应带远传功能，通讯应满足第3条工业通讯的要求。</w:t>
      </w:r>
    </w:p>
    <w:p>
      <w:pPr>
        <w:numPr>
          <w:ilvl w:val="0"/>
          <w:numId w:val="36"/>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加装能源计量仪表的要求应写入设备招标文件，并包含在投标价格内。</w:t>
      </w:r>
    </w:p>
    <w:p>
      <w:pPr>
        <w:spacing w:line="360" w:lineRule="auto"/>
        <w:ind w:firstLine="482" w:firstLineChars="200"/>
        <w:outlineLvl w:val="3"/>
        <w:rPr>
          <w:rFonts w:hint="eastAsia" w:ascii="宋体" w:hAnsi="宋体" w:eastAsia="宋体" w:cs="宋体"/>
          <w:b/>
          <w:sz w:val="24"/>
          <w:szCs w:val="24"/>
          <w:lang w:val="en-US" w:eastAsia="zh-CN"/>
        </w:rPr>
      </w:pPr>
      <w:bookmarkStart w:id="50" w:name="_Hlk33102596"/>
      <w:r>
        <w:rPr>
          <w:rFonts w:hint="eastAsia" w:ascii="宋体" w:hAnsi="宋体" w:eastAsia="宋体" w:cs="宋体"/>
          <w:b/>
          <w:sz w:val="24"/>
          <w:szCs w:val="24"/>
          <w:lang w:val="en-US" w:eastAsia="zh-CN"/>
        </w:rPr>
        <w:t>4、设备设计使用寿命（年限）</w:t>
      </w:r>
    </w:p>
    <w:bookmarkEnd w:id="50"/>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w:t>
      </w:r>
      <w:bookmarkStart w:id="51" w:name="_Hlk33094137"/>
      <w:r>
        <w:rPr>
          <w:rFonts w:hint="eastAsia" w:ascii="宋体" w:hAnsi="宋体" w:eastAsia="宋体" w:cs="宋体"/>
          <w:color w:val="000000"/>
          <w:kern w:val="0"/>
          <w:sz w:val="24"/>
          <w:szCs w:val="24"/>
          <w:lang w:bidi="ar"/>
        </w:rPr>
        <w:t>设计使用寿命不应低于</w:t>
      </w:r>
      <w:bookmarkEnd w:id="51"/>
      <w:r>
        <w:rPr>
          <w:rFonts w:hint="eastAsia" w:ascii="宋体" w:hAnsi="宋体" w:eastAsia="宋体" w:cs="宋体"/>
          <w:color w:val="000000"/>
          <w:kern w:val="0"/>
          <w:sz w:val="24"/>
          <w:szCs w:val="24"/>
          <w:lang w:bidi="ar"/>
        </w:rPr>
        <w:t>10年。</w:t>
      </w:r>
    </w:p>
    <w:p>
      <w:pPr>
        <w:spacing w:line="360" w:lineRule="auto"/>
        <w:ind w:firstLine="482" w:firstLineChars="200"/>
        <w:outlineLvl w:val="3"/>
        <w:rPr>
          <w:rFonts w:hint="eastAsia" w:ascii="宋体" w:hAnsi="宋体" w:eastAsia="宋体" w:cs="宋体"/>
          <w:b/>
          <w:sz w:val="24"/>
          <w:szCs w:val="24"/>
          <w:lang w:val="en-US" w:eastAsia="zh-CN"/>
        </w:rPr>
      </w:pPr>
      <w:bookmarkStart w:id="52" w:name="_Hlk33102606"/>
      <w:r>
        <w:rPr>
          <w:rFonts w:hint="eastAsia" w:ascii="宋体" w:hAnsi="宋体" w:eastAsia="宋体" w:cs="宋体"/>
          <w:b/>
          <w:sz w:val="24"/>
          <w:szCs w:val="24"/>
          <w:lang w:val="en-US" w:eastAsia="zh-CN"/>
        </w:rPr>
        <w:t>5、维修</w:t>
      </w:r>
      <w:bookmarkEnd w:id="52"/>
    </w:p>
    <w:p>
      <w:pPr>
        <w:numPr>
          <w:ilvl w:val="0"/>
          <w:numId w:val="37"/>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投标人对设备可维修性进行描述，设备在设计、制造、布局、安装时应充分考虑了后续维修的易维修性、可修复性和维修作业的安全、可操作性。</w:t>
      </w:r>
    </w:p>
    <w:p>
      <w:pPr>
        <w:numPr>
          <w:ilvl w:val="0"/>
          <w:numId w:val="37"/>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在正式提交的设备资料中应当包含设备的维修BOM。</w:t>
      </w:r>
    </w:p>
    <w:p>
      <w:pPr>
        <w:numPr>
          <w:ilvl w:val="0"/>
          <w:numId w:val="37"/>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投标人在投标文件中应说明设备在维保方面的信息，包含但不限于：易损件清单、耗材清单、定期维保项目清单等，上述清单应包含单价。</w:t>
      </w:r>
    </w:p>
    <w:p>
      <w:pPr>
        <w:numPr>
          <w:ilvl w:val="0"/>
          <w:numId w:val="37"/>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投标报价不包含备品、备件。</w:t>
      </w:r>
    </w:p>
    <w:p>
      <w:pPr>
        <w:spacing w:line="360" w:lineRule="auto"/>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五、技术资料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1、硬件资料</w:t>
      </w:r>
    </w:p>
    <w:p>
      <w:pPr>
        <w:numPr>
          <w:ilvl w:val="0"/>
          <w:numId w:val="38"/>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人提供的资料应包括涉及所有系统部件的安装、运行、注意事项和维护方法的详细说明，此外还应包括所购设备的完整设备清单和详细指南。与设备清单相对应的设备项目代号应在所有相关图纸上表示出来，投标人还应根据要求提供其设备代号与市场上可买到的该设备型号间的参照表。</w:t>
      </w:r>
    </w:p>
    <w:p>
      <w:pPr>
        <w:numPr>
          <w:ilvl w:val="0"/>
          <w:numId w:val="38"/>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投标人至少应提供下列手册和图纸：</w:t>
      </w:r>
    </w:p>
    <w:p>
      <w:pPr>
        <w:numPr>
          <w:ilvl w:val="0"/>
          <w:numId w:val="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--设备竣工图（包括总图、基础图、装配图、机械原理图、气动、液压原理图、电气原理图、接线图和元器件布置图、PLC 梯形图、变频器的组态文件、HMI 的组态文件等）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--设备硬件手册。</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sz w:val="24"/>
          <w:szCs w:val="24"/>
        </w:rPr>
        <w:t>--</w:t>
      </w:r>
      <w:r>
        <w:rPr>
          <w:rFonts w:hint="eastAsia" w:ascii="宋体" w:hAnsi="宋体" w:eastAsia="宋体" w:cs="宋体"/>
          <w:color w:val="000000"/>
          <w:kern w:val="0"/>
          <w:sz w:val="24"/>
          <w:szCs w:val="24"/>
          <w:lang w:bidi="ar"/>
        </w:rPr>
        <w:t>设备操作手册（含安全操作规程、操作和安全事项的使用说明书）。</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--设备维护手册（含润滑图表、含有易损件的检查更换指南、易损件使用时间）。</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--设备组态手册。</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--仪器仪表检定证书和使用维修说明书。</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--构成设备所有部件的原理图。</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--内部布置图。</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--符合招标人要求格式的外部连接图，图上应有电缆编号和端子编号。</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--每只控制柜、操作台的总布置图，这些图中应标明各模件和组装件的编号，并包括正视图、后视图、开孔图、总尺寸及开门所需的净空距离。</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--所有控制和调整装置在维护时所需的校验曲线。</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--所有</w:t>
      </w:r>
      <w:r>
        <w:rPr>
          <w:rFonts w:hint="eastAsia" w:ascii="宋体" w:hAnsi="宋体" w:eastAsia="宋体" w:cs="宋体"/>
          <w:color w:val="000000"/>
          <w:kern w:val="0"/>
          <w:sz w:val="24"/>
          <w:szCs w:val="24"/>
          <w:lang w:eastAsia="zh-CN" w:bidi="ar"/>
        </w:rPr>
        <w:t>投标方</w:t>
      </w:r>
      <w:r>
        <w:rPr>
          <w:rFonts w:hint="eastAsia" w:ascii="宋体" w:hAnsi="宋体" w:eastAsia="宋体" w:cs="宋体"/>
          <w:color w:val="000000"/>
          <w:kern w:val="0"/>
          <w:sz w:val="24"/>
          <w:szCs w:val="24"/>
          <w:lang w:bidi="ar"/>
        </w:rPr>
        <w:t>外购设备手册。</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PLC使用的部件详图。</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--安装步骤、包括装配细节、设备散热和设备重量等。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--材料清册，包括备件、易损件和耗材清单。</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--所有外围设备的样本（包括主机、显示器、键盘、打印机等）。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--产品合格证。</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--开箱记录等随机文件材料。</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--施工文件。</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--用于说明采购件名称、型号、规格、厂家等的采购件明细表。</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--设备出厂所必须的精度检验证书、性能测试记录和报告。</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--设备分支动力管线的设计竣工图。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2、软件资料</w:t>
      </w:r>
    </w:p>
    <w:p>
      <w:pPr>
        <w:numPr>
          <w:ilvl w:val="0"/>
          <w:numId w:val="39"/>
        </w:numPr>
        <w:spacing w:line="360" w:lineRule="auto"/>
        <w:ind w:left="28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人应提供足以使招标人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pPr>
        <w:numPr>
          <w:ilvl w:val="0"/>
          <w:numId w:val="39"/>
        </w:numPr>
        <w:spacing w:line="360" w:lineRule="auto"/>
        <w:ind w:left="28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设备可编程器件（PLC、触摸屏、伺服器等）的原控制程序、组态程序电子文档。</w:t>
      </w:r>
    </w:p>
    <w:p>
      <w:pPr>
        <w:numPr>
          <w:ilvl w:val="0"/>
          <w:numId w:val="39"/>
        </w:numPr>
        <w:spacing w:line="360" w:lineRule="auto"/>
        <w:ind w:left="28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编程指导材料，投标人应提供用于各系统程序的源码说明，包括交互在程序中的注释，以便整个程序的理解，这一资料应存放在工程师站和U盘内提供给招标人。</w:t>
      </w:r>
    </w:p>
    <w:p>
      <w:pPr>
        <w:numPr>
          <w:ilvl w:val="0"/>
          <w:numId w:val="39"/>
        </w:numPr>
        <w:spacing w:line="360" w:lineRule="auto"/>
        <w:ind w:left="28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人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等。</w:t>
      </w:r>
    </w:p>
    <w:p>
      <w:pPr>
        <w:spacing w:line="360" w:lineRule="auto"/>
        <w:ind w:firstLine="241" w:firstLineChars="100"/>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六、服务范围及要求</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1、技术指导和培训服务</w:t>
      </w:r>
    </w:p>
    <w:p>
      <w:pPr>
        <w:numPr>
          <w:ilvl w:val="0"/>
          <w:numId w:val="40"/>
        </w:numPr>
        <w:spacing w:line="360" w:lineRule="auto"/>
        <w:ind w:left="470" w:leftChars="224" w:firstLine="0" w:firstLineChars="0"/>
        <w:jc w:val="distribut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投标方应按要求，免费积极协助和提供招标人和招标人所委托的工程设计单位有关人员所需要的、和设备（或材料）有关的工程设计资料、技术咨询等；</w:t>
      </w:r>
    </w:p>
    <w:p>
      <w:pPr>
        <w:numPr>
          <w:ilvl w:val="0"/>
          <w:numId w:val="40"/>
        </w:numPr>
        <w:spacing w:line="360" w:lineRule="auto"/>
        <w:ind w:left="470" w:leftChars="0" w:firstLine="105"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numPr>
          <w:ilvl w:val="0"/>
          <w:numId w:val="40"/>
        </w:numPr>
        <w:spacing w:line="360" w:lineRule="auto"/>
        <w:ind w:left="47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方负责制定对招标人人员在运行、维修和试验等方面的培训计划，并有专人负责实施培训计划，负责指导招标人受培训人员正确理解设计和制造意图，认识设备的特点和特性，掌握在运行、维修和使用管理中应遵守的规则等方面的综合知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2、现场服务</w:t>
      </w:r>
    </w:p>
    <w:p>
      <w:pPr>
        <w:numPr>
          <w:ilvl w:val="0"/>
          <w:numId w:val="41"/>
        </w:numPr>
        <w:spacing w:line="360" w:lineRule="auto"/>
        <w:ind w:left="47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现场施工全过程应按招标方已经批准的工程进度计划进行安装。调试、试生产期间有关技术人员应长期进行服务。</w:t>
      </w:r>
    </w:p>
    <w:p>
      <w:pPr>
        <w:numPr>
          <w:ilvl w:val="0"/>
          <w:numId w:val="41"/>
        </w:numPr>
        <w:spacing w:line="360" w:lineRule="auto"/>
        <w:ind w:left="47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设备在制造过程中，接受招标方到制造厂内进行检查，并提供方便。</w:t>
      </w:r>
    </w:p>
    <w:p>
      <w:pPr>
        <w:numPr>
          <w:ilvl w:val="0"/>
          <w:numId w:val="41"/>
        </w:numPr>
        <w:spacing w:line="360" w:lineRule="auto"/>
        <w:ind w:left="47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设备在运行过程中出现故障，根据招标方要求投标方的技术及相关人员应常驻现场服务。</w:t>
      </w:r>
    </w:p>
    <w:p>
      <w:pPr>
        <w:numPr>
          <w:ilvl w:val="0"/>
          <w:numId w:val="41"/>
        </w:numPr>
        <w:spacing w:line="360" w:lineRule="auto"/>
        <w:ind w:left="47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投标方须满足招标方的相关技术咨询。</w:t>
      </w:r>
    </w:p>
    <w:p>
      <w:pPr>
        <w:numPr>
          <w:ilvl w:val="0"/>
          <w:numId w:val="41"/>
        </w:numPr>
        <w:spacing w:line="360" w:lineRule="auto"/>
        <w:ind w:left="47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在这些现场服务中，投标方所作的任何修改都要以文件的形式更新并提交给招标方。</w:t>
      </w:r>
    </w:p>
    <w:p>
      <w:pPr>
        <w:numPr>
          <w:ilvl w:val="0"/>
          <w:numId w:val="41"/>
        </w:numPr>
        <w:spacing w:line="360" w:lineRule="auto"/>
        <w:ind w:left="470" w:leftChars="0" w:firstLine="480" w:firstLineChars="0"/>
        <w:rPr>
          <w:rFonts w:hint="eastAsia" w:ascii="宋体" w:hAnsi="宋体" w:eastAsia="宋体" w:cs="宋体"/>
          <w:color w:val="000000"/>
          <w:kern w:val="0"/>
          <w:sz w:val="24"/>
          <w:szCs w:val="24"/>
          <w:highlight w:val="none"/>
          <w:lang w:bidi="ar"/>
        </w:rPr>
      </w:pPr>
      <w:r>
        <w:rPr>
          <w:rFonts w:hint="eastAsia" w:ascii="宋体" w:hAnsi="宋体" w:eastAsia="宋体" w:cs="宋体"/>
          <w:sz w:val="24"/>
          <w:szCs w:val="24"/>
          <w:highlight w:val="none"/>
          <w:lang w:val="en-US" w:eastAsia="zh-CN"/>
        </w:rPr>
        <w:t>投标方应为招标方相关设备技术人员提供系统的现场培训。现场培训时间不少于一周。投标方应根据项目需求在量产阶段提供不低于半个月时间的陪产。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3、运输服务</w:t>
      </w:r>
    </w:p>
    <w:p>
      <w:pPr>
        <w:tabs>
          <w:tab w:val="left" w:pos="472"/>
        </w:tabs>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kern w:val="0"/>
          <w:sz w:val="24"/>
          <w:szCs w:val="24"/>
          <w:lang w:eastAsia="zh-CN" w:bidi="ar"/>
        </w:rPr>
        <w:tab/>
      </w:r>
      <w:r>
        <w:rPr>
          <w:rFonts w:hint="eastAsia" w:ascii="宋体" w:hAnsi="宋体" w:eastAsia="宋体" w:cs="宋体"/>
          <w:color w:val="000000"/>
          <w:kern w:val="0"/>
          <w:sz w:val="24"/>
          <w:szCs w:val="24"/>
          <w:lang w:val="en-US" w:eastAsia="zh-CN" w:bidi="ar"/>
        </w:rPr>
        <w:t xml:space="preserve"> </w:t>
      </w:r>
      <w:r>
        <w:rPr>
          <w:rFonts w:hint="eastAsia" w:ascii="宋体" w:hAnsi="宋体" w:eastAsia="宋体" w:cs="宋体"/>
          <w:color w:val="000000"/>
          <w:kern w:val="0"/>
          <w:sz w:val="24"/>
          <w:szCs w:val="24"/>
          <w:lang w:bidi="ar"/>
        </w:rPr>
        <w:t>投标方负责将设备按要求运至</w:t>
      </w:r>
      <w:r>
        <w:rPr>
          <w:rFonts w:hint="eastAsia" w:ascii="宋体" w:hAnsi="宋体" w:eastAsia="宋体" w:cs="宋体"/>
          <w:color w:val="000000"/>
          <w:kern w:val="0"/>
          <w:sz w:val="24"/>
          <w:szCs w:val="24"/>
          <w:lang w:eastAsia="zh-CN" w:bidi="ar"/>
        </w:rPr>
        <w:t>招标方</w:t>
      </w:r>
      <w:r>
        <w:rPr>
          <w:rFonts w:hint="eastAsia" w:ascii="宋体" w:hAnsi="宋体" w:eastAsia="宋体" w:cs="宋体"/>
          <w:color w:val="000000"/>
          <w:kern w:val="0"/>
          <w:sz w:val="24"/>
          <w:szCs w:val="24"/>
          <w:lang w:bidi="ar"/>
        </w:rPr>
        <w:t>需求地点</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4、安装调试服务</w:t>
      </w:r>
    </w:p>
    <w:p>
      <w:pPr>
        <w:numPr>
          <w:ilvl w:val="0"/>
          <w:numId w:val="42"/>
        </w:numPr>
        <w:spacing w:line="360" w:lineRule="auto"/>
        <w:ind w:left="47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根据设备的要求，调试可分空载和负载两个阶段进行；招标人将予以积极配合，协助投标方达到设备的各项技术要求和性能。</w:t>
      </w:r>
    </w:p>
    <w:p>
      <w:pPr>
        <w:numPr>
          <w:ilvl w:val="0"/>
          <w:numId w:val="42"/>
        </w:numPr>
        <w:spacing w:line="360" w:lineRule="auto"/>
        <w:ind w:left="47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numPr>
          <w:ilvl w:val="0"/>
          <w:numId w:val="42"/>
        </w:numPr>
        <w:spacing w:line="360" w:lineRule="auto"/>
        <w:ind w:left="47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投标方免费负责设备的安装、调试，并接受用户的技术咨询。</w:t>
      </w:r>
    </w:p>
    <w:p>
      <w:pPr>
        <w:numPr>
          <w:ilvl w:val="0"/>
          <w:numId w:val="42"/>
        </w:numPr>
        <w:spacing w:line="360" w:lineRule="auto"/>
        <w:ind w:left="47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投标方是否提供有偿的还是免费的、指导安装调试还是负责安装调试，至少应在投标文件的服务章节中，予以明确说明。</w:t>
      </w:r>
    </w:p>
    <w:p>
      <w:pPr>
        <w:numPr>
          <w:ilvl w:val="0"/>
          <w:numId w:val="0"/>
        </w:numPr>
        <w:spacing w:line="360" w:lineRule="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b/>
          <w:bCs/>
          <w:sz w:val="24"/>
          <w:szCs w:val="24"/>
          <w:highlight w:val="none"/>
          <w:lang w:val="en-US" w:eastAsia="zh-CN"/>
        </w:rPr>
        <w:t xml:space="preserve">  5、售后服务</w:t>
      </w:r>
    </w:p>
    <w:p>
      <w:pPr>
        <w:numPr>
          <w:ilvl w:val="0"/>
          <w:numId w:val="43"/>
        </w:numPr>
        <w:spacing w:line="360" w:lineRule="auto"/>
        <w:ind w:left="47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在质保期之内，如发现投标方所提供的设备（或材料）存在问题，投标方须在接到通知后12小时内派有关人员到达现场，解决问题；</w:t>
      </w:r>
    </w:p>
    <w:p>
      <w:pPr>
        <w:numPr>
          <w:ilvl w:val="0"/>
          <w:numId w:val="43"/>
        </w:numPr>
        <w:spacing w:line="360" w:lineRule="auto"/>
        <w:ind w:left="47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在质保期之后，如发现投标方所提供的设备（或材料）存在问题，需要投标方配合解决时，投标方须在接到通知后24小时内派有关人员到达现场，协助招标人解决问题；</w:t>
      </w:r>
    </w:p>
    <w:p>
      <w:pPr>
        <w:numPr>
          <w:ilvl w:val="0"/>
          <w:numId w:val="43"/>
        </w:numPr>
        <w:spacing w:line="360" w:lineRule="auto"/>
        <w:ind w:left="47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所有的售后服务均由投标方受理。如果发生问题并且收到报告，应当在2小时内予以答复；</w:t>
      </w:r>
    </w:p>
    <w:p>
      <w:pPr>
        <w:numPr>
          <w:ilvl w:val="0"/>
          <w:numId w:val="0"/>
        </w:num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标人若将设备接入信息化，实现智能制造，投标方需要无条件的提供帮助与服务，包括但不限于提供设备最新程序，以及为实现某种自动化功能而需对设备程序进行的调整等。</w:t>
      </w:r>
    </w:p>
    <w:p>
      <w:pPr>
        <w:numPr>
          <w:ilvl w:val="0"/>
          <w:numId w:val="0"/>
        </w:numPr>
        <w:spacing w:line="360" w:lineRule="auto"/>
        <w:ind w:leftChars="0"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七、</w:t>
      </w:r>
      <w:r>
        <w:rPr>
          <w:rFonts w:hint="eastAsia" w:ascii="宋体" w:hAnsi="宋体" w:eastAsia="宋体" w:cs="宋体"/>
          <w:b/>
          <w:bCs/>
          <w:sz w:val="24"/>
          <w:szCs w:val="24"/>
        </w:rPr>
        <w:t>验收</w:t>
      </w:r>
    </w:p>
    <w:p>
      <w:pPr>
        <w:numPr>
          <w:ilvl w:val="0"/>
          <w:numId w:val="44"/>
        </w:numPr>
        <w:spacing w:line="360" w:lineRule="auto"/>
        <w:ind w:left="47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验收分预验收和终验收两部分。预验收在投标方进行，终验收在安装调试完成后的招标方现场进行。但是所有的项目，包括不能预验收的项目和预验收通过的项目都在终验收时重新检验，最终只以终验收为准。</w:t>
      </w:r>
    </w:p>
    <w:p>
      <w:pPr>
        <w:numPr>
          <w:ilvl w:val="0"/>
          <w:numId w:val="44"/>
        </w:numPr>
        <w:spacing w:line="360" w:lineRule="auto"/>
        <w:ind w:left="47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按照参考招标文件、投标文件、答疑文件、技术交流文件等形成并达成一致的技术协议书和合同规定验收。</w:t>
      </w:r>
    </w:p>
    <w:p>
      <w:pPr>
        <w:numPr>
          <w:ilvl w:val="0"/>
          <w:numId w:val="44"/>
        </w:numPr>
        <w:spacing w:line="360" w:lineRule="auto"/>
        <w:ind w:left="470" w:leftChars="0" w:firstLine="48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验收标准</w:t>
      </w:r>
    </w:p>
    <w:p>
      <w:pPr>
        <w:numPr>
          <w:ilvl w:val="0"/>
          <w:numId w:val="0"/>
        </w:numPr>
        <w:spacing w:line="360" w:lineRule="auto"/>
        <w:ind w:left="479" w:leftChars="228"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资料齐全性、完整性和有效性，包含工艺布置图、设备安装图、电控图、PLC控制程序、触摸屏控制程序、变频器调整参数所用产品全部提供产品合格证、进口产品出具报关单、设备主要配置清单、说明书等4份纸质文件，电子档文件3份。</w:t>
      </w:r>
    </w:p>
    <w:p>
      <w:pPr>
        <w:numPr>
          <w:ilvl w:val="0"/>
          <w:numId w:val="0"/>
        </w:numPr>
        <w:spacing w:line="360" w:lineRule="auto"/>
        <w:ind w:left="479" w:leftChars="228"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2）设备应运行灵活、稳定、可靠、安全，无异常声音和非正常振动。设备不允许出现漏液、漏气（汽）；</w:t>
      </w:r>
    </w:p>
    <w:p>
      <w:pPr>
        <w:numPr>
          <w:ilvl w:val="0"/>
          <w:numId w:val="0"/>
        </w:numPr>
        <w:spacing w:line="360" w:lineRule="auto"/>
        <w:ind w:left="479" w:leftChars="228"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3)设备外观应无损伤，应该涂满同种明亮清晰的油漆（特殊标志除外）。设备应该完整且所有的零部件应该安装牢固，所有的焊缝饱满、无残渣等缺陷；</w:t>
      </w:r>
    </w:p>
    <w:p>
      <w:pPr>
        <w:numPr>
          <w:ilvl w:val="0"/>
          <w:numId w:val="0"/>
        </w:numPr>
        <w:spacing w:line="360" w:lineRule="auto"/>
        <w:ind w:left="479" w:leftChars="228"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所有的管道和电缆线等，应排列有序（正确、牢固、整齐）无皱褶、收缩和裂缝，电缆线在整个长度范围内，所有的接头应完全正确地连接、所有线体控制柜内接线使用接线端子并带有线号，线号与图纸对应一致。</w:t>
      </w:r>
    </w:p>
    <w:p>
      <w:pPr>
        <w:numPr>
          <w:ilvl w:val="0"/>
          <w:numId w:val="0"/>
        </w:numPr>
        <w:spacing w:line="360" w:lineRule="auto"/>
        <w:ind w:firstLine="960" w:firstLineChars="4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5)设备应有完整的标牌，且清晰易见；</w:t>
      </w:r>
    </w:p>
    <w:p>
      <w:pPr>
        <w:numPr>
          <w:ilvl w:val="0"/>
          <w:numId w:val="0"/>
        </w:numPr>
        <w:spacing w:line="360" w:lineRule="auto"/>
        <w:ind w:firstLine="960" w:firstLineChars="4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6)设备的润滑系统工作可靠，润滑点易于到达，运行可靠、稳定，操作方便；</w:t>
      </w:r>
    </w:p>
    <w:p>
      <w:pPr>
        <w:numPr>
          <w:ilvl w:val="0"/>
          <w:numId w:val="0"/>
        </w:numPr>
        <w:spacing w:line="360" w:lineRule="auto"/>
        <w:ind w:firstLine="960" w:firstLineChars="4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7)设备的安全要求符合中国最新的相关法律、法规、标准和规范以及合同要求；</w:t>
      </w:r>
    </w:p>
    <w:p>
      <w:pPr>
        <w:numPr>
          <w:ilvl w:val="0"/>
          <w:numId w:val="0"/>
        </w:numPr>
        <w:spacing w:line="360" w:lineRule="auto"/>
        <w:ind w:firstLine="960" w:firstLineChars="4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8)地线连接和地极符合国际（ISO/IEC）标准规范；</w:t>
      </w:r>
    </w:p>
    <w:p>
      <w:pPr>
        <w:numPr>
          <w:ilvl w:val="0"/>
          <w:numId w:val="0"/>
        </w:numPr>
        <w:spacing w:line="360" w:lineRule="auto"/>
        <w:ind w:left="479" w:leftChars="228"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9)计量仪器、仪表配套合理，采用中国的法定计量单位，计量准确、灵敏可靠。计量仪器、仪表出具计量检验报告、产品合格证等。</w:t>
      </w:r>
    </w:p>
    <w:p>
      <w:pPr>
        <w:numPr>
          <w:ilvl w:val="0"/>
          <w:numId w:val="0"/>
        </w:numPr>
        <w:spacing w:line="360" w:lineRule="auto"/>
        <w:ind w:left="479" w:leftChars="228"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10)设备质量、技术性能等，按照签定的技术协议书和合同规定的终验收标准验收；</w:t>
      </w:r>
    </w:p>
    <w:p>
      <w:pPr>
        <w:numPr>
          <w:ilvl w:val="0"/>
          <w:numId w:val="0"/>
        </w:numPr>
        <w:spacing w:line="360" w:lineRule="auto"/>
        <w:ind w:firstLine="960" w:firstLineChars="4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11)备品备件的数量、规格等，按照技术协议和合同规定的标准。</w:t>
      </w:r>
    </w:p>
    <w:p>
      <w:pPr>
        <w:numPr>
          <w:ilvl w:val="0"/>
          <w:numId w:val="0"/>
        </w:numPr>
        <w:spacing w:line="360" w:lineRule="auto"/>
        <w:ind w:left="479" w:leftChars="228"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12)在投标方所提供设备需要得到招标人建设项目所在地政府或行业主管部门的查验、试验、验收时，投标方应当免费协助招标人完成所需要的工作、材料和服务等。</w:t>
      </w:r>
    </w:p>
    <w:p>
      <w:pPr>
        <w:numPr>
          <w:ilvl w:val="0"/>
          <w:numId w:val="0"/>
        </w:numPr>
        <w:spacing w:line="360" w:lineRule="auto"/>
        <w:ind w:left="479" w:leftChars="228"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13)投标方在招标人现场进行或负责的、设备（或材料）的预验收和终验收，应当是免费的，陪同生产到设备稳定；</w:t>
      </w:r>
    </w:p>
    <w:p>
      <w:pPr>
        <w:numPr>
          <w:ilvl w:val="0"/>
          <w:numId w:val="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验收启动条件：设备运行时，货物应连续运行30天，每天连续10小时或单次连续运行24小时。或已经累计生产6000台以上，各在产车型均已正常生产。以先到为准，且如果三个月内因买方排产问题，导致部分车型无法生产，不得作为推迟终验收的因素。</w:t>
      </w:r>
    </w:p>
    <w:p>
      <w:pPr>
        <w:numPr>
          <w:ilvl w:val="0"/>
          <w:numId w:val="0"/>
        </w:numPr>
        <w:spacing w:line="360" w:lineRule="auto"/>
        <w:ind w:left="950" w:leftChars="0"/>
        <w:rPr>
          <w:rFonts w:hint="eastAsia" w:ascii="宋体" w:hAnsi="宋体" w:eastAsia="宋体" w:cs="宋体"/>
          <w:sz w:val="24"/>
          <w:szCs w:val="24"/>
          <w:highlight w:val="none"/>
          <w:lang w:val="en-US" w:eastAsia="zh-CN"/>
        </w:rPr>
      </w:pPr>
    </w:p>
    <w:p>
      <w:pPr>
        <w:pStyle w:val="18"/>
      </w:pPr>
    </w:p>
    <w:p>
      <w:pPr>
        <w:rPr>
          <w:rFonts w:hint="eastAsia" w:ascii="宋体" w:hAnsi="宋体" w:eastAsia="宋体" w:cs="Times New Roman"/>
          <w:b/>
          <w:sz w:val="36"/>
          <w:szCs w:val="36"/>
        </w:rPr>
      </w:pPr>
      <w:bookmarkStart w:id="53" w:name="_Toc28859"/>
      <w:r>
        <w:rPr>
          <w:rFonts w:hint="eastAsia" w:ascii="宋体" w:hAnsi="宋体" w:eastAsia="宋体" w:cs="Times New Roman"/>
          <w:b/>
          <w:sz w:val="36"/>
          <w:szCs w:val="36"/>
        </w:rPr>
        <w:br w:type="page"/>
      </w:r>
    </w:p>
    <w:p>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53"/>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8"/>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54"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11930"/>
      <w:bookmarkStart w:id="56" w:name="_Toc11823"/>
      <w:bookmarkStart w:id="57" w:name="_Toc16330018"/>
      <w:bookmarkStart w:id="58" w:name="_Toc17619"/>
      <w:r>
        <w:rPr>
          <w:rFonts w:hint="eastAsia" w:ascii="黑体" w:hAnsi="黑体" w:eastAsia="黑体" w:cstheme="minorEastAsia"/>
          <w:b w:val="0"/>
          <w:sz w:val="28"/>
          <w:szCs w:val="28"/>
        </w:rPr>
        <w:t>1 合同设备</w:t>
      </w:r>
      <w:bookmarkEnd w:id="55"/>
      <w:bookmarkEnd w:id="56"/>
      <w:bookmarkEnd w:id="57"/>
      <w:bookmarkEnd w:id="5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9" w:name="_Toc22800"/>
      <w:bookmarkStart w:id="60" w:name="_Toc29026"/>
      <w:bookmarkStart w:id="61"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2" w:name="_Toc16330019"/>
      <w:r>
        <w:rPr>
          <w:rFonts w:hint="eastAsia" w:ascii="黑体" w:hAnsi="黑体" w:eastAsia="黑体" w:cstheme="minorEastAsia"/>
          <w:b w:val="0"/>
          <w:sz w:val="28"/>
          <w:szCs w:val="28"/>
        </w:rPr>
        <w:t>2 包装</w:t>
      </w:r>
      <w:bookmarkEnd w:id="59"/>
      <w:bookmarkEnd w:id="60"/>
      <w:bookmarkEnd w:id="61"/>
      <w:bookmarkEnd w:id="6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3" w:name="_Toc27453"/>
      <w:bookmarkStart w:id="64" w:name="_Toc2833"/>
      <w:bookmarkStart w:id="65" w:name="_Toc27144"/>
      <w:bookmarkStart w:id="66" w:name="_Toc16330020"/>
      <w:r>
        <w:rPr>
          <w:rFonts w:hint="eastAsia" w:ascii="黑体" w:hAnsi="黑体" w:eastAsia="黑体" w:cstheme="minorEastAsia"/>
          <w:b w:val="0"/>
          <w:sz w:val="28"/>
          <w:szCs w:val="28"/>
        </w:rPr>
        <w:t>3 运输标记</w:t>
      </w:r>
      <w:bookmarkEnd w:id="63"/>
      <w:bookmarkEnd w:id="64"/>
      <w:bookmarkEnd w:id="65"/>
      <w:bookmarkEnd w:id="6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7" w:name="_Toc16330021"/>
      <w:bookmarkStart w:id="68" w:name="_Toc10630"/>
      <w:bookmarkStart w:id="69" w:name="_Toc16133"/>
      <w:bookmarkStart w:id="70" w:name="_Toc7431"/>
      <w:r>
        <w:rPr>
          <w:rFonts w:hint="eastAsia" w:ascii="黑体" w:hAnsi="黑体" w:eastAsia="黑体" w:cstheme="minorEastAsia"/>
          <w:b w:val="0"/>
          <w:sz w:val="28"/>
          <w:szCs w:val="28"/>
        </w:rPr>
        <w:t>4 检验</w:t>
      </w:r>
      <w:bookmarkEnd w:id="67"/>
      <w:bookmarkEnd w:id="68"/>
      <w:bookmarkEnd w:id="69"/>
      <w:bookmarkEnd w:id="7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1" w:name="_Toc24467"/>
      <w:bookmarkStart w:id="72" w:name="_Toc11217"/>
      <w:bookmarkStart w:id="73" w:name="_Toc16330022"/>
      <w:bookmarkStart w:id="74" w:name="_Toc19850"/>
      <w:r>
        <w:rPr>
          <w:rFonts w:hint="eastAsia" w:ascii="黑体" w:hAnsi="黑体" w:eastAsia="黑体" w:cstheme="minorEastAsia"/>
          <w:b w:val="0"/>
          <w:sz w:val="28"/>
          <w:szCs w:val="28"/>
        </w:rPr>
        <w:t>5 权利担保</w:t>
      </w:r>
      <w:bookmarkEnd w:id="71"/>
      <w:bookmarkEnd w:id="72"/>
      <w:bookmarkEnd w:id="73"/>
      <w:bookmarkEnd w:id="7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5" w:name="_Toc11759"/>
      <w:bookmarkStart w:id="76" w:name="_Toc16330023"/>
      <w:bookmarkStart w:id="77" w:name="_Toc14809"/>
      <w:bookmarkStart w:id="78" w:name="_Toc27500"/>
      <w:r>
        <w:rPr>
          <w:rFonts w:hint="eastAsia" w:ascii="黑体" w:hAnsi="黑体" w:eastAsia="黑体" w:cstheme="minorEastAsia"/>
          <w:b w:val="0"/>
          <w:sz w:val="28"/>
          <w:szCs w:val="28"/>
        </w:rPr>
        <w:t>6 交货</w:t>
      </w:r>
      <w:bookmarkEnd w:id="75"/>
      <w:bookmarkEnd w:id="76"/>
      <w:bookmarkEnd w:id="77"/>
      <w:bookmarkEnd w:id="7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9" w:name="_Toc8024"/>
      <w:bookmarkStart w:id="80" w:name="_Toc2984"/>
      <w:bookmarkStart w:id="81" w:name="_Toc25510"/>
      <w:bookmarkStart w:id="82" w:name="_Toc16330024"/>
      <w:r>
        <w:rPr>
          <w:rFonts w:hint="eastAsia" w:ascii="黑体" w:hAnsi="黑体" w:eastAsia="黑体" w:cstheme="minorEastAsia"/>
          <w:b w:val="0"/>
          <w:sz w:val="28"/>
          <w:szCs w:val="28"/>
        </w:rPr>
        <w:t>7 安装、调试</w:t>
      </w:r>
      <w:bookmarkEnd w:id="79"/>
      <w:bookmarkEnd w:id="80"/>
      <w:bookmarkEnd w:id="81"/>
      <w:bookmarkEnd w:id="82"/>
    </w:p>
    <w:p>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3" w:name="_Toc16330025"/>
      <w:bookmarkStart w:id="84" w:name="_Toc14098"/>
      <w:bookmarkStart w:id="85" w:name="_Toc6350"/>
      <w:bookmarkStart w:id="86" w:name="_Toc14260"/>
      <w:r>
        <w:rPr>
          <w:rFonts w:hint="eastAsia" w:ascii="黑体" w:hAnsi="黑体" w:eastAsia="黑体" w:cstheme="minorEastAsia"/>
          <w:b w:val="0"/>
          <w:sz w:val="28"/>
          <w:szCs w:val="28"/>
        </w:rPr>
        <w:t>8 价款与支付</w:t>
      </w:r>
      <w:bookmarkEnd w:id="83"/>
      <w:bookmarkEnd w:id="84"/>
      <w:bookmarkEnd w:id="85"/>
      <w:bookmarkEnd w:id="8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87" w:name="_Toc14531628"/>
      <w:bookmarkStart w:id="88"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87"/>
      <w:bookmarkEnd w:id="88"/>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24085"/>
      <w:bookmarkStart w:id="90" w:name="_Toc16330026"/>
      <w:bookmarkStart w:id="91" w:name="_Toc25708"/>
      <w:bookmarkStart w:id="92" w:name="_Toc6726"/>
      <w:r>
        <w:rPr>
          <w:rFonts w:hint="eastAsia" w:ascii="黑体" w:hAnsi="黑体" w:eastAsia="黑体" w:cstheme="minorEastAsia"/>
          <w:b w:val="0"/>
          <w:sz w:val="28"/>
          <w:szCs w:val="28"/>
        </w:rPr>
        <w:t>9 质量保证及售后服务</w:t>
      </w:r>
      <w:bookmarkEnd w:id="89"/>
      <w:bookmarkEnd w:id="90"/>
      <w:bookmarkEnd w:id="91"/>
      <w:bookmarkEnd w:id="9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3" w:name="_Toc15570"/>
      <w:bookmarkStart w:id="94" w:name="_Toc12927"/>
      <w:bookmarkStart w:id="95" w:name="_Toc10359"/>
      <w:bookmarkStart w:id="96" w:name="_Toc16330027"/>
      <w:r>
        <w:rPr>
          <w:rFonts w:hint="eastAsia" w:ascii="黑体" w:hAnsi="黑体" w:eastAsia="黑体" w:cstheme="minorEastAsia"/>
          <w:b w:val="0"/>
          <w:sz w:val="28"/>
          <w:szCs w:val="28"/>
        </w:rPr>
        <w:t>10法定责任</w:t>
      </w:r>
      <w:bookmarkEnd w:id="93"/>
      <w:bookmarkEnd w:id="94"/>
      <w:bookmarkEnd w:id="95"/>
      <w:bookmarkEnd w:id="9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9708"/>
      <w:bookmarkStart w:id="98" w:name="_Toc16330028"/>
      <w:bookmarkStart w:id="99" w:name="_Toc30381"/>
      <w:bookmarkStart w:id="100" w:name="_Toc27314"/>
      <w:r>
        <w:rPr>
          <w:rFonts w:hint="eastAsia" w:ascii="黑体" w:hAnsi="黑体" w:eastAsia="黑体" w:cstheme="minorEastAsia"/>
          <w:b w:val="0"/>
          <w:sz w:val="28"/>
          <w:szCs w:val="28"/>
        </w:rPr>
        <w:t>11 违约责任</w:t>
      </w:r>
      <w:bookmarkEnd w:id="97"/>
      <w:bookmarkEnd w:id="98"/>
      <w:bookmarkEnd w:id="99"/>
      <w:bookmarkEnd w:id="10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1" w:name="_Toc31554"/>
      <w:bookmarkStart w:id="102" w:name="_Toc9172"/>
      <w:bookmarkStart w:id="103" w:name="_Toc16330029"/>
      <w:bookmarkStart w:id="104" w:name="_Toc1827"/>
      <w:r>
        <w:rPr>
          <w:rFonts w:hint="eastAsia" w:ascii="黑体" w:hAnsi="黑体" w:eastAsia="黑体" w:cstheme="minorEastAsia"/>
          <w:b w:val="0"/>
          <w:sz w:val="28"/>
          <w:szCs w:val="28"/>
        </w:rPr>
        <w:t>12 合同的终止与解除</w:t>
      </w:r>
      <w:bookmarkEnd w:id="101"/>
      <w:bookmarkEnd w:id="102"/>
      <w:bookmarkEnd w:id="103"/>
      <w:bookmarkEnd w:id="10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5" w:name="_Toc13671"/>
      <w:bookmarkStart w:id="106" w:name="_Toc16330030"/>
      <w:bookmarkStart w:id="107" w:name="_Toc31945"/>
      <w:bookmarkStart w:id="108" w:name="_Toc8620"/>
      <w:r>
        <w:rPr>
          <w:rFonts w:hint="eastAsia" w:ascii="黑体" w:hAnsi="黑体" w:eastAsia="黑体" w:cstheme="minorEastAsia"/>
          <w:b w:val="0"/>
          <w:sz w:val="28"/>
          <w:szCs w:val="28"/>
        </w:rPr>
        <w:t>13 不可抗力</w:t>
      </w:r>
      <w:bookmarkEnd w:id="105"/>
      <w:bookmarkEnd w:id="106"/>
      <w:bookmarkEnd w:id="107"/>
      <w:bookmarkEnd w:id="10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9" w:name="_Toc30389"/>
      <w:bookmarkStart w:id="110" w:name="_Toc16330031"/>
      <w:bookmarkStart w:id="111" w:name="_Toc31243"/>
      <w:bookmarkStart w:id="112" w:name="_Toc637"/>
      <w:r>
        <w:rPr>
          <w:rFonts w:hint="eastAsia" w:ascii="黑体" w:hAnsi="黑体" w:eastAsia="黑体" w:cstheme="minorEastAsia"/>
          <w:b w:val="0"/>
          <w:sz w:val="28"/>
          <w:szCs w:val="28"/>
        </w:rPr>
        <w:t>14 通讯</w:t>
      </w:r>
      <w:bookmarkEnd w:id="109"/>
      <w:bookmarkEnd w:id="110"/>
      <w:bookmarkEnd w:id="111"/>
      <w:bookmarkEnd w:id="11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240" w:beforeLines="100"/>
        <w:jc w:val="both"/>
        <w:rPr>
          <w:rFonts w:ascii="黑体" w:hAnsi="黑体" w:eastAsia="黑体" w:cstheme="minorEastAsia"/>
          <w:b w:val="0"/>
          <w:sz w:val="28"/>
          <w:szCs w:val="28"/>
        </w:rPr>
      </w:pPr>
      <w:bookmarkStart w:id="113" w:name="_Toc11290"/>
      <w:bookmarkStart w:id="114" w:name="_Toc9915"/>
      <w:bookmarkStart w:id="115" w:name="_Toc12984"/>
      <w:bookmarkStart w:id="116" w:name="_Toc16330032"/>
      <w:r>
        <w:rPr>
          <w:rFonts w:hint="eastAsia" w:ascii="黑体" w:hAnsi="黑体" w:eastAsia="黑体" w:cstheme="minorEastAsia"/>
          <w:b w:val="0"/>
          <w:sz w:val="28"/>
          <w:szCs w:val="28"/>
        </w:rPr>
        <w:t>15 适用法律及争议解决</w:t>
      </w:r>
      <w:bookmarkEnd w:id="113"/>
      <w:bookmarkEnd w:id="114"/>
      <w:bookmarkEnd w:id="115"/>
      <w:bookmarkEnd w:id="11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7" w:name="_Toc18207"/>
      <w:bookmarkStart w:id="118" w:name="_Toc16330033"/>
      <w:bookmarkStart w:id="119" w:name="_Toc23765"/>
      <w:bookmarkStart w:id="120" w:name="_Toc23906"/>
      <w:r>
        <w:rPr>
          <w:rFonts w:hint="eastAsia" w:ascii="黑体" w:hAnsi="黑体" w:eastAsia="黑体" w:cstheme="minorEastAsia"/>
          <w:b w:val="0"/>
          <w:sz w:val="28"/>
          <w:szCs w:val="28"/>
        </w:rPr>
        <w:t>16 附件</w:t>
      </w:r>
      <w:bookmarkEnd w:id="117"/>
      <w:bookmarkEnd w:id="118"/>
      <w:bookmarkEnd w:id="119"/>
      <w:bookmarkEnd w:id="12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1" w:name="_Toc17656"/>
      <w:bookmarkStart w:id="122" w:name="_Toc16330034"/>
      <w:bookmarkStart w:id="123" w:name="_Toc31331"/>
      <w:bookmarkStart w:id="124" w:name="_Toc27202"/>
      <w:r>
        <w:rPr>
          <w:rFonts w:hint="eastAsia" w:ascii="黑体" w:hAnsi="黑体" w:eastAsia="黑体" w:cstheme="minorEastAsia"/>
          <w:b w:val="0"/>
          <w:sz w:val="28"/>
          <w:szCs w:val="28"/>
        </w:rPr>
        <w:t>17 其他规定</w:t>
      </w:r>
      <w:bookmarkEnd w:id="121"/>
      <w:bookmarkEnd w:id="122"/>
      <w:bookmarkEnd w:id="123"/>
      <w:bookmarkEnd w:id="12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25" w:name="_Toc16330035"/>
      <w:bookmarkStart w:id="126" w:name="_Toc19077"/>
      <w:bookmarkStart w:id="127" w:name="_Toc17952"/>
      <w:bookmarkStart w:id="128"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25"/>
      <w:bookmarkEnd w:id="126"/>
      <w:bookmarkEnd w:id="127"/>
      <w:bookmarkEnd w:id="12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7"/>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29" w:name="_Toc16330037"/>
      <w:bookmarkStart w:id="130" w:name="_Toc24623"/>
      <w:bookmarkStart w:id="131" w:name="_Toc25120"/>
      <w:bookmarkStart w:id="132" w:name="_Toc3778"/>
      <w:bookmarkStart w:id="133" w:name="_Toc5379"/>
      <w:r>
        <w:rPr>
          <w:rFonts w:hint="eastAsia" w:asciiTheme="minorEastAsia" w:hAnsiTheme="minorEastAsia" w:eastAsiaTheme="minorEastAsia" w:cstheme="minorEastAsia"/>
          <w:sz w:val="20"/>
          <w:szCs w:val="20"/>
        </w:rPr>
        <w:br w:type="page"/>
      </w:r>
    </w:p>
    <w:p>
      <w:pPr>
        <w:pStyle w:val="4"/>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29"/>
      <w:bookmarkEnd w:id="130"/>
      <w:bookmarkEnd w:id="131"/>
      <w:bookmarkEnd w:id="132"/>
      <w:bookmarkEnd w:id="133"/>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34" w:name="_Toc14341849"/>
    </w:p>
    <w:p>
      <w:pPr>
        <w:ind w:right="480"/>
        <w:jc w:val="center"/>
        <w:rPr>
          <w:sz w:val="24"/>
          <w:szCs w:val="24"/>
        </w:rPr>
      </w:pPr>
      <w:r>
        <w:rPr>
          <w:rFonts w:hint="eastAsia" w:ascii="楷体_GB2312" w:hAnsi="宋体" w:eastAsia="楷体_GB2312"/>
          <w:sz w:val="24"/>
        </w:rPr>
        <w:t xml:space="preserve">                                    </w:t>
      </w:r>
    </w:p>
    <w:bookmarkEnd w:id="134"/>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3"/>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7"/>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3"/>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3"/>
        <w:ind w:left="0" w:firstLine="0"/>
        <w:rPr>
          <w:rFonts w:ascii="楷体" w:hAnsi="楷体" w:eastAsia="楷体" w:cs="楷体"/>
          <w:b/>
          <w:sz w:val="24"/>
          <w:szCs w:val="28"/>
        </w:rPr>
      </w:pPr>
    </w:p>
    <w:p>
      <w:pPr>
        <w:pStyle w:val="13"/>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3"/>
        <w:ind w:left="0" w:firstLine="0"/>
        <w:rPr>
          <w:rFonts w:ascii="楷体" w:hAnsi="楷体" w:eastAsia="楷体" w:cs="楷体"/>
          <w:b/>
          <w:sz w:val="24"/>
          <w:szCs w:val="28"/>
        </w:rPr>
      </w:pPr>
    </w:p>
    <w:p>
      <w:pPr>
        <w:pStyle w:val="13"/>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54"/>
    </w:p>
    <w:p>
      <w:pPr>
        <w:keepNext/>
        <w:keepLines/>
        <w:outlineLvl w:val="9"/>
        <w:rPr>
          <w:rFonts w:hint="eastAsia" w:ascii="Times New Roman" w:hAnsi="Times New Roman" w:eastAsia="宋体" w:cs="Times New Roman"/>
          <w:b/>
          <w:bCs/>
          <w:color w:val="000000"/>
          <w:sz w:val="24"/>
          <w:szCs w:val="24"/>
        </w:rPr>
      </w:pPr>
    </w:p>
    <w:p>
      <w:pPr>
        <w:pStyle w:val="18"/>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8"/>
        <w:rPr>
          <w:rFonts w:hint="eastAsia"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5" w:name="_Toc639004"/>
      <w:bookmarkStart w:id="136" w:name="_Toc353881012"/>
      <w:bookmarkStart w:id="137" w:name="_Toc212369550"/>
      <w:bookmarkStart w:id="138"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5"/>
      <w:bookmarkEnd w:id="136"/>
      <w:bookmarkEnd w:id="137"/>
      <w:bookmarkEnd w:id="138"/>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济南商用车前风挡玻璃涂胶工作站改造项目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济南商用车前风挡玻璃涂胶工作站改造项目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CGZX2025020222</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1"/>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1"/>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1"/>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1"/>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1"/>
              <w:spacing w:before="114"/>
              <w:ind w:left="720"/>
            </w:pPr>
            <w:r>
              <w:t xml:space="preserve">品牌区分 </w:t>
            </w:r>
          </w:p>
        </w:tc>
        <w:tc>
          <w:tcPr>
            <w:tcW w:w="7500" w:type="dxa"/>
            <w:gridSpan w:val="6"/>
          </w:tcPr>
          <w:p>
            <w:pPr>
              <w:pStyle w:val="1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1"/>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1"/>
              <w:spacing w:before="15"/>
              <w:ind w:left="279"/>
            </w:pPr>
            <w:r>
              <w:rPr>
                <w:spacing w:val="-2"/>
              </w:rPr>
              <w:t>质量</w:t>
            </w:r>
            <w:r>
              <w:t xml:space="preserve"> </w:t>
            </w:r>
          </w:p>
          <w:p>
            <w:pPr>
              <w:pStyle w:val="131"/>
              <w:spacing w:before="30" w:line="277" w:lineRule="exact"/>
              <w:ind w:left="279"/>
            </w:pPr>
            <w:r>
              <w:rPr>
                <w:rFonts w:hint="eastAsia"/>
              </w:rPr>
              <w:t>体系</w:t>
            </w:r>
          </w:p>
        </w:tc>
        <w:tc>
          <w:tcPr>
            <w:tcW w:w="2820" w:type="dxa"/>
            <w:gridSpan w:val="2"/>
          </w:tcPr>
          <w:p>
            <w:pPr>
              <w:pStyle w:val="131"/>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1"/>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8"/>
        <w:rPr>
          <w:rFonts w:ascii="Times New Roman" w:hAnsi="Times New Roman" w:eastAsia="宋体" w:cs="Times New Roman"/>
          <w:b/>
          <w:bCs/>
          <w:color w:val="000000"/>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济南商用车前风挡玻璃涂胶工作站改造项目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济南商用车前风挡玻璃涂胶工作站改造项目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附件5-2设备分项配置表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tbl>
      <w:tblPr>
        <w:tblStyle w:val="129"/>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1</w:t>
            </w:r>
          </w:p>
        </w:tc>
        <w:tc>
          <w:tcPr>
            <w:tcW w:w="1500" w:type="dxa"/>
          </w:tcPr>
          <w:p>
            <w:pPr>
              <w:pStyle w:val="137"/>
              <w:spacing w:before="133" w:line="220" w:lineRule="auto"/>
              <w:ind w:left="550"/>
              <w:rPr>
                <w:rFonts w:hint="eastAsia" w:ascii="宋体" w:hAnsi="宋体" w:cs="宋体"/>
                <w:sz w:val="20"/>
                <w:szCs w:val="20"/>
                <w:lang w:bidi="ar"/>
              </w:rPr>
            </w:pPr>
          </w:p>
        </w:tc>
        <w:tc>
          <w:tcPr>
            <w:tcW w:w="3150" w:type="dxa"/>
            <w:vAlign w:val="center"/>
          </w:tcPr>
          <w:p>
            <w:pPr>
              <w:pStyle w:val="137"/>
              <w:spacing w:before="12" w:line="204" w:lineRule="auto"/>
              <w:ind w:left="1107" w:right="130" w:hanging="977"/>
              <w:jc w:val="center"/>
              <w:rPr>
                <w:spacing w:val="-2"/>
                <w:sz w:val="21"/>
                <w:szCs w:val="21"/>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2</w:t>
            </w:r>
          </w:p>
        </w:tc>
        <w:tc>
          <w:tcPr>
            <w:tcW w:w="1500" w:type="dxa"/>
          </w:tcPr>
          <w:p>
            <w:pPr>
              <w:pStyle w:val="137"/>
              <w:spacing w:before="118" w:line="221" w:lineRule="auto"/>
              <w:ind w:left="339"/>
              <w:rPr>
                <w:rFonts w:hint="eastAsia" w:ascii="宋体" w:hAnsi="宋体" w:cs="宋体"/>
                <w:sz w:val="20"/>
                <w:szCs w:val="20"/>
                <w:lang w:bidi="ar"/>
              </w:rPr>
            </w:pPr>
          </w:p>
        </w:tc>
        <w:tc>
          <w:tcPr>
            <w:tcW w:w="3150" w:type="dxa"/>
          </w:tcPr>
          <w:p>
            <w:pPr>
              <w:pStyle w:val="137"/>
              <w:spacing w:before="118" w:line="221" w:lineRule="auto"/>
              <w:ind w:left="607"/>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3</w:t>
            </w:r>
          </w:p>
        </w:tc>
        <w:tc>
          <w:tcPr>
            <w:tcW w:w="1500" w:type="dxa"/>
          </w:tcPr>
          <w:p>
            <w:pPr>
              <w:pStyle w:val="137"/>
              <w:spacing w:before="157" w:line="221" w:lineRule="auto"/>
              <w:ind w:left="445"/>
              <w:rPr>
                <w:rFonts w:hint="eastAsia" w:ascii="宋体" w:hAnsi="宋体" w:cs="宋体"/>
                <w:sz w:val="20"/>
                <w:szCs w:val="20"/>
                <w:lang w:bidi="ar"/>
              </w:rPr>
            </w:pPr>
          </w:p>
        </w:tc>
        <w:tc>
          <w:tcPr>
            <w:tcW w:w="3150" w:type="dxa"/>
            <w:vAlign w:val="center"/>
          </w:tcPr>
          <w:p>
            <w:pPr>
              <w:pStyle w:val="137"/>
              <w:spacing w:before="38" w:line="214" w:lineRule="auto"/>
              <w:ind w:left="1233" w:right="104" w:hanging="1124"/>
              <w:jc w:val="center"/>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4</w:t>
            </w:r>
          </w:p>
        </w:tc>
        <w:tc>
          <w:tcPr>
            <w:tcW w:w="1500" w:type="dxa"/>
          </w:tcPr>
          <w:p>
            <w:pPr>
              <w:pStyle w:val="137"/>
              <w:spacing w:before="296" w:line="182" w:lineRule="auto"/>
              <w:ind w:left="706"/>
              <w:rPr>
                <w:rFonts w:hint="eastAsia" w:ascii="宋体" w:hAnsi="宋体" w:cs="宋体"/>
                <w:sz w:val="20"/>
                <w:szCs w:val="20"/>
                <w:lang w:bidi="ar"/>
              </w:rPr>
            </w:pPr>
          </w:p>
        </w:tc>
        <w:tc>
          <w:tcPr>
            <w:tcW w:w="3150" w:type="dxa"/>
          </w:tcPr>
          <w:p>
            <w:pPr>
              <w:pStyle w:val="137"/>
              <w:spacing w:before="140" w:line="216" w:lineRule="auto"/>
              <w:ind w:left="111" w:right="138" w:firstLine="3"/>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5</w:t>
            </w:r>
          </w:p>
        </w:tc>
        <w:tc>
          <w:tcPr>
            <w:tcW w:w="1500" w:type="dxa"/>
          </w:tcPr>
          <w:p>
            <w:pPr>
              <w:pStyle w:val="137"/>
              <w:spacing w:before="132" w:line="221" w:lineRule="auto"/>
              <w:ind w:left="551"/>
              <w:rPr>
                <w:rFonts w:hint="eastAsia" w:ascii="宋体" w:hAnsi="宋体" w:cs="宋体"/>
                <w:sz w:val="20"/>
                <w:szCs w:val="20"/>
                <w:lang w:bidi="ar"/>
              </w:rPr>
            </w:pPr>
          </w:p>
        </w:tc>
        <w:tc>
          <w:tcPr>
            <w:tcW w:w="3150" w:type="dxa"/>
          </w:tcPr>
          <w:p>
            <w:pPr>
              <w:pStyle w:val="137"/>
              <w:spacing w:before="12" w:line="203" w:lineRule="auto"/>
              <w:ind w:left="113" w:right="104" w:firstLine="14"/>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6</w:t>
            </w:r>
          </w:p>
        </w:tc>
        <w:tc>
          <w:tcPr>
            <w:tcW w:w="1500" w:type="dxa"/>
          </w:tcPr>
          <w:p>
            <w:pPr>
              <w:pStyle w:val="137"/>
              <w:spacing w:before="144" w:line="220" w:lineRule="auto"/>
              <w:ind w:left="447"/>
              <w:rPr>
                <w:rFonts w:hint="eastAsia" w:ascii="宋体" w:hAnsi="宋体" w:cs="宋体"/>
                <w:sz w:val="20"/>
                <w:szCs w:val="20"/>
                <w:lang w:bidi="ar"/>
              </w:rPr>
            </w:pPr>
          </w:p>
        </w:tc>
        <w:tc>
          <w:tcPr>
            <w:tcW w:w="3150" w:type="dxa"/>
          </w:tcPr>
          <w:p>
            <w:pPr>
              <w:pStyle w:val="137"/>
              <w:spacing w:before="25" w:line="207" w:lineRule="auto"/>
              <w:ind w:left="118" w:right="107" w:hanging="3"/>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7</w:t>
            </w:r>
          </w:p>
        </w:tc>
        <w:tc>
          <w:tcPr>
            <w:tcW w:w="1500" w:type="dxa"/>
          </w:tcPr>
          <w:p>
            <w:pPr>
              <w:pStyle w:val="137"/>
              <w:spacing w:before="204" w:line="221" w:lineRule="auto"/>
              <w:ind w:left="341"/>
              <w:rPr>
                <w:rFonts w:hint="eastAsia" w:ascii="宋体" w:hAnsi="宋体" w:cs="宋体"/>
                <w:sz w:val="20"/>
                <w:szCs w:val="20"/>
                <w:lang w:bidi="ar"/>
              </w:rPr>
            </w:pPr>
          </w:p>
        </w:tc>
        <w:tc>
          <w:tcPr>
            <w:tcW w:w="3150" w:type="dxa"/>
          </w:tcPr>
          <w:p>
            <w:pPr>
              <w:pStyle w:val="137"/>
              <w:spacing w:before="53" w:line="248" w:lineRule="auto"/>
              <w:ind w:left="118" w:right="107" w:hanging="3"/>
              <w:rPr>
                <w:rFonts w:hint="eastAsia" w:ascii="宋体" w:hAnsi="宋体" w:cs="宋体"/>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8</w:t>
            </w:r>
          </w:p>
        </w:tc>
        <w:tc>
          <w:tcPr>
            <w:tcW w:w="1500" w:type="dxa"/>
          </w:tcPr>
          <w:p>
            <w:pPr>
              <w:pStyle w:val="137"/>
              <w:spacing w:before="262" w:line="221" w:lineRule="auto"/>
              <w:ind w:left="130"/>
              <w:rPr>
                <w:rFonts w:hint="eastAsia" w:ascii="宋体" w:hAnsi="宋体" w:cs="宋体"/>
              </w:rPr>
            </w:pPr>
          </w:p>
        </w:tc>
        <w:tc>
          <w:tcPr>
            <w:tcW w:w="3150" w:type="dxa"/>
          </w:tcPr>
          <w:p>
            <w:pPr>
              <w:pStyle w:val="137"/>
              <w:spacing w:before="267" w:line="221" w:lineRule="auto"/>
              <w:ind w:left="120"/>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9</w:t>
            </w:r>
          </w:p>
        </w:tc>
        <w:tc>
          <w:tcPr>
            <w:tcW w:w="1500" w:type="dxa"/>
          </w:tcPr>
          <w:p>
            <w:pPr>
              <w:pStyle w:val="137"/>
              <w:spacing w:before="172" w:line="221" w:lineRule="auto"/>
              <w:ind w:left="444"/>
              <w:rPr>
                <w:rFonts w:hint="eastAsia" w:ascii="宋体" w:hAnsi="宋体" w:cs="宋体"/>
              </w:rPr>
            </w:pPr>
          </w:p>
        </w:tc>
        <w:tc>
          <w:tcPr>
            <w:tcW w:w="3150" w:type="dxa"/>
          </w:tcPr>
          <w:p>
            <w:pPr>
              <w:pStyle w:val="137"/>
              <w:spacing w:before="172" w:line="221" w:lineRule="auto"/>
              <w:ind w:left="346"/>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10</w:t>
            </w:r>
          </w:p>
        </w:tc>
        <w:tc>
          <w:tcPr>
            <w:tcW w:w="1500" w:type="dxa"/>
          </w:tcPr>
          <w:p>
            <w:pPr>
              <w:pStyle w:val="137"/>
              <w:spacing w:before="142" w:line="222" w:lineRule="auto"/>
              <w:ind w:left="555"/>
              <w:rPr>
                <w:rFonts w:hint="eastAsia" w:ascii="宋体" w:hAnsi="宋体" w:cs="宋体"/>
              </w:rPr>
            </w:pPr>
          </w:p>
        </w:tc>
        <w:tc>
          <w:tcPr>
            <w:tcW w:w="3150" w:type="dxa"/>
          </w:tcPr>
          <w:p>
            <w:pPr>
              <w:pStyle w:val="137"/>
              <w:spacing w:before="141" w:line="221" w:lineRule="auto"/>
              <w:ind w:left="399"/>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11</w:t>
            </w:r>
          </w:p>
        </w:tc>
        <w:tc>
          <w:tcPr>
            <w:tcW w:w="1500" w:type="dxa"/>
            <w:shd w:val="clear" w:color="auto" w:fill="auto"/>
            <w:vAlign w:val="center"/>
          </w:tcPr>
          <w:p>
            <w:pPr>
              <w:pStyle w:val="137"/>
              <w:spacing w:before="142" w:line="222" w:lineRule="auto"/>
              <w:ind w:left="555"/>
              <w:rPr>
                <w:spacing w:val="-2"/>
                <w:sz w:val="21"/>
                <w:szCs w:val="21"/>
              </w:rPr>
            </w:pPr>
          </w:p>
        </w:tc>
        <w:tc>
          <w:tcPr>
            <w:tcW w:w="3150" w:type="dxa"/>
            <w:shd w:val="clear" w:color="auto" w:fill="auto"/>
            <w:vAlign w:val="center"/>
          </w:tcPr>
          <w:p>
            <w:pPr>
              <w:pStyle w:val="137"/>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12</w:t>
            </w:r>
          </w:p>
        </w:tc>
        <w:tc>
          <w:tcPr>
            <w:tcW w:w="1500" w:type="dxa"/>
            <w:shd w:val="clear" w:color="auto" w:fill="auto"/>
            <w:vAlign w:val="center"/>
          </w:tcPr>
          <w:p>
            <w:pPr>
              <w:pStyle w:val="137"/>
              <w:spacing w:before="142" w:line="222" w:lineRule="auto"/>
              <w:rPr>
                <w:spacing w:val="-2"/>
                <w:sz w:val="21"/>
                <w:szCs w:val="21"/>
              </w:rPr>
            </w:pPr>
          </w:p>
        </w:tc>
        <w:tc>
          <w:tcPr>
            <w:tcW w:w="3150" w:type="dxa"/>
            <w:shd w:val="clear" w:color="auto" w:fill="auto"/>
            <w:vAlign w:val="center"/>
          </w:tcPr>
          <w:p>
            <w:pPr>
              <w:pStyle w:val="137"/>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13</w:t>
            </w:r>
          </w:p>
        </w:tc>
        <w:tc>
          <w:tcPr>
            <w:tcW w:w="1500" w:type="dxa"/>
            <w:shd w:val="clear" w:color="auto" w:fill="auto"/>
            <w:vAlign w:val="center"/>
          </w:tcPr>
          <w:p>
            <w:pPr>
              <w:pStyle w:val="137"/>
              <w:spacing w:before="142" w:line="222" w:lineRule="auto"/>
              <w:rPr>
                <w:spacing w:val="-2"/>
                <w:sz w:val="21"/>
                <w:szCs w:val="21"/>
              </w:rPr>
            </w:pPr>
          </w:p>
        </w:tc>
        <w:tc>
          <w:tcPr>
            <w:tcW w:w="3150" w:type="dxa"/>
            <w:shd w:val="clear" w:color="auto" w:fill="auto"/>
            <w:vAlign w:val="center"/>
          </w:tcPr>
          <w:p>
            <w:pPr>
              <w:pStyle w:val="137"/>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506" w:type="dxa"/>
            <w:vAlign w:val="center"/>
          </w:tcPr>
          <w:p>
            <w:pPr>
              <w:spacing w:before="79"/>
              <w:jc w:val="center"/>
              <w:rPr>
                <w:rFonts w:hint="eastAsia" w:ascii="宋体" w:hAnsi="宋体" w:eastAsia="宋体" w:cs="宋体"/>
                <w:szCs w:val="21"/>
              </w:rPr>
            </w:pPr>
            <w:r>
              <w:rPr>
                <w:rFonts w:hint="eastAsia" w:ascii="宋体" w:hAnsi="宋体" w:eastAsia="宋体" w:cs="宋体"/>
                <w:position w:val="1"/>
                <w:szCs w:val="21"/>
              </w:rPr>
              <w:t>14</w:t>
            </w:r>
          </w:p>
        </w:tc>
        <w:tc>
          <w:tcPr>
            <w:tcW w:w="1500" w:type="dxa"/>
            <w:shd w:val="clear" w:color="auto" w:fill="auto"/>
            <w:vAlign w:val="center"/>
          </w:tcPr>
          <w:p>
            <w:pPr>
              <w:pStyle w:val="137"/>
              <w:spacing w:before="142" w:line="222" w:lineRule="auto"/>
              <w:rPr>
                <w:spacing w:val="-2"/>
                <w:sz w:val="21"/>
                <w:szCs w:val="21"/>
              </w:rPr>
            </w:pPr>
          </w:p>
        </w:tc>
        <w:tc>
          <w:tcPr>
            <w:tcW w:w="3150" w:type="dxa"/>
            <w:shd w:val="clear" w:color="auto" w:fill="auto"/>
            <w:vAlign w:val="center"/>
          </w:tcPr>
          <w:p>
            <w:pPr>
              <w:pStyle w:val="137"/>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济南商用车前风挡玻璃涂胶工作站改造项目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济南商用车前风挡玻璃涂胶工作站改造项目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济南商用车前风挡玻璃涂胶工作站改造项目</w:t>
      </w:r>
      <w:r>
        <w:rPr>
          <w:rFonts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济南商用车前风挡玻璃涂胶工作站改造项目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8"/>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8"/>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第页共页</w:t>
      </w:r>
    </w:p>
    <w:tbl>
      <w:tblPr>
        <w:tblStyle w:val="129"/>
        <w:tblW w:w="1490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3589"/>
        <w:gridCol w:w="1268"/>
        <w:gridCol w:w="600"/>
        <w:gridCol w:w="777"/>
        <w:gridCol w:w="2059"/>
        <w:gridCol w:w="2267"/>
        <w:gridCol w:w="2943"/>
        <w:gridCol w:w="8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3589"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126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60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777"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2059"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2267"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2943" w:type="dxa"/>
            <w:tcBorders>
              <w:top w:val="single" w:color="000000" w:sz="2" w:space="0"/>
              <w:left w:val="nil"/>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846"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3589"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126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60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777"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2059"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2267"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2943" w:type="dxa"/>
            <w:tcBorders>
              <w:top w:val="single" w:color="000000" w:sz="2" w:space="0"/>
              <w:left w:val="nil"/>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1"/>
                <w:kern w:val="0"/>
                <w:sz w:val="20"/>
                <w:szCs w:val="20"/>
              </w:rPr>
              <w:t>总价[</w:t>
            </w:r>
            <w:r>
              <w:rPr>
                <w:rFonts w:hint="eastAsia" w:ascii="宋体" w:hAnsi="宋体" w:eastAsia="宋体" w:cs="Times New Roman"/>
                <w:b/>
                <w:spacing w:val="-1"/>
                <w:kern w:val="0"/>
                <w:sz w:val="20"/>
                <w:szCs w:val="20"/>
              </w:rPr>
              <w:t>5</w:t>
            </w:r>
            <w:r>
              <w:rPr>
                <w:rFonts w:hint="eastAsia" w:ascii="宋体" w:hAnsi="宋体" w:eastAsia="Times New Roman" w:cs="Times New Roman"/>
                <w:b/>
                <w:kern w:val="0"/>
                <w:sz w:val="20"/>
                <w:szCs w:val="20"/>
              </w:rPr>
              <w:t>×</w:t>
            </w:r>
            <w:r>
              <w:rPr>
                <w:rFonts w:hint="eastAsia" w:ascii="宋体" w:hAnsi="宋体" w:eastAsia="宋体" w:cs="Times New Roman"/>
                <w:b/>
                <w:kern w:val="0"/>
                <w:sz w:val="20"/>
                <w:szCs w:val="20"/>
              </w:rPr>
              <w:t>7</w:t>
            </w:r>
            <w:r>
              <w:rPr>
                <w:rFonts w:hint="eastAsia" w:ascii="宋体" w:hAnsi="宋体" w:eastAsia="Times New Roman" w:cs="Times New Roman"/>
                <w:b/>
                <w:kern w:val="0"/>
                <w:sz w:val="20"/>
                <w:szCs w:val="20"/>
              </w:rPr>
              <w:t>]</w:t>
            </w:r>
            <w:r>
              <w:rPr>
                <w:rFonts w:hint="eastAsia" w:ascii="宋体" w:hAnsi="宋体" w:eastAsia="Times New Roman" w:cs="Times New Roman"/>
                <w:b/>
                <w:spacing w:val="-3"/>
                <w:kern w:val="0"/>
                <w:sz w:val="20"/>
                <w:szCs w:val="20"/>
              </w:rPr>
              <w:t>（不含税）</w:t>
            </w: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846"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3589"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b w:val="0"/>
                <w:bCs/>
                <w:sz w:val="21"/>
                <w:szCs w:val="21"/>
                <w:lang w:val="en-US" w:eastAsia="zh-CN"/>
              </w:rPr>
              <w:t>保护性拆除旧设备</w:t>
            </w:r>
          </w:p>
        </w:tc>
        <w:tc>
          <w:tcPr>
            <w:tcW w:w="126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6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套</w:t>
            </w:r>
          </w:p>
        </w:tc>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p>
        </w:tc>
        <w:tc>
          <w:tcPr>
            <w:tcW w:w="20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1"/>
                <w:szCs w:val="21"/>
              </w:rPr>
            </w:pPr>
          </w:p>
        </w:tc>
        <w:tc>
          <w:tcPr>
            <w:tcW w:w="2267" w:type="dxa"/>
            <w:tcBorders>
              <w:top w:val="single" w:color="000000" w:sz="2" w:space="0"/>
              <w:left w:val="single" w:color="000000" w:sz="2" w:space="0"/>
              <w:bottom w:val="single" w:color="000000" w:sz="2" w:space="0"/>
              <w:right w:val="single" w:color="000000" w:sz="4" w:space="0"/>
            </w:tcBorders>
            <w:vAlign w:val="center"/>
          </w:tcPr>
          <w:p>
            <w:pPr>
              <w:jc w:val="left"/>
              <w:rPr>
                <w:rFonts w:hint="eastAsia" w:ascii="宋体" w:hAnsi="宋体" w:eastAsia="宋体" w:cs="宋体"/>
                <w:kern w:val="0"/>
                <w:sz w:val="21"/>
                <w:szCs w:val="21"/>
              </w:rPr>
            </w:pPr>
          </w:p>
        </w:tc>
        <w:tc>
          <w:tcPr>
            <w:tcW w:w="2943" w:type="dxa"/>
            <w:tcBorders>
              <w:top w:val="single" w:color="000000" w:sz="2" w:space="0"/>
              <w:left w:val="nil"/>
              <w:bottom w:val="single" w:color="000000" w:sz="2" w:space="0"/>
              <w:right w:val="single" w:color="000000" w:sz="2" w:space="0"/>
            </w:tcBorders>
            <w:vAlign w:val="center"/>
          </w:tcPr>
          <w:p>
            <w:pPr>
              <w:jc w:val="left"/>
              <w:rPr>
                <w:rFonts w:hint="eastAsia" w:ascii="宋体" w:hAnsi="宋体" w:eastAsia="宋体" w:cs="宋体"/>
                <w:kern w:val="0"/>
                <w:sz w:val="21"/>
                <w:szCs w:val="21"/>
              </w:rPr>
            </w:pPr>
          </w:p>
        </w:tc>
        <w:tc>
          <w:tcPr>
            <w:tcW w:w="846" w:type="dxa"/>
            <w:tcBorders>
              <w:top w:val="single" w:color="000000" w:sz="2" w:space="0"/>
              <w:left w:val="single" w:color="000000" w:sz="2" w:space="0"/>
              <w:bottom w:val="single" w:color="000000" w:sz="2" w:space="0"/>
              <w:right w:val="single" w:color="000000" w:sz="2" w:space="0"/>
            </w:tcBorders>
            <w:vAlign w:val="center"/>
          </w:tcPr>
          <w:p>
            <w:pPr>
              <w:jc w:val="left"/>
              <w:rPr>
                <w:rFonts w:hint="eastAsia" w:ascii="宋体" w:hAnsi="宋体" w:eastAsia="宋体" w:cs="宋体"/>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3589"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供胶系统（胶桶至混合器）</w:t>
            </w:r>
          </w:p>
        </w:tc>
        <w:tc>
          <w:tcPr>
            <w:tcW w:w="126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6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套</w:t>
            </w:r>
          </w:p>
        </w:tc>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p>
        </w:tc>
        <w:tc>
          <w:tcPr>
            <w:tcW w:w="20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1"/>
                <w:szCs w:val="21"/>
              </w:rPr>
            </w:pPr>
          </w:p>
        </w:tc>
        <w:tc>
          <w:tcPr>
            <w:tcW w:w="2267" w:type="dxa"/>
            <w:tcBorders>
              <w:top w:val="single" w:color="000000" w:sz="2" w:space="0"/>
              <w:left w:val="single" w:color="000000" w:sz="2" w:space="0"/>
              <w:bottom w:val="single" w:color="000000" w:sz="2" w:space="0"/>
              <w:right w:val="single" w:color="000000" w:sz="4" w:space="0"/>
            </w:tcBorders>
            <w:vAlign w:val="center"/>
          </w:tcPr>
          <w:p>
            <w:pPr>
              <w:jc w:val="left"/>
              <w:rPr>
                <w:rFonts w:hint="eastAsia" w:ascii="宋体" w:hAnsi="宋体" w:eastAsia="宋体" w:cs="宋体"/>
                <w:kern w:val="0"/>
                <w:sz w:val="21"/>
                <w:szCs w:val="21"/>
              </w:rPr>
            </w:pPr>
          </w:p>
        </w:tc>
        <w:tc>
          <w:tcPr>
            <w:tcW w:w="2943" w:type="dxa"/>
            <w:tcBorders>
              <w:top w:val="single" w:color="000000" w:sz="2" w:space="0"/>
              <w:left w:val="nil"/>
              <w:bottom w:val="single" w:color="000000" w:sz="2" w:space="0"/>
              <w:right w:val="single" w:color="000000" w:sz="2" w:space="0"/>
            </w:tcBorders>
            <w:vAlign w:val="center"/>
          </w:tcPr>
          <w:p>
            <w:pPr>
              <w:jc w:val="left"/>
              <w:rPr>
                <w:rFonts w:hint="eastAsia" w:ascii="宋体" w:hAnsi="宋体" w:eastAsia="宋体" w:cs="宋体"/>
                <w:kern w:val="0"/>
                <w:sz w:val="21"/>
                <w:szCs w:val="21"/>
              </w:rPr>
            </w:pPr>
          </w:p>
        </w:tc>
        <w:tc>
          <w:tcPr>
            <w:tcW w:w="846" w:type="dxa"/>
            <w:tcBorders>
              <w:top w:val="single" w:color="000000" w:sz="2" w:space="0"/>
              <w:left w:val="single" w:color="000000" w:sz="2" w:space="0"/>
              <w:bottom w:val="single" w:color="000000" w:sz="2" w:space="0"/>
              <w:right w:val="single" w:color="000000" w:sz="2" w:space="0"/>
            </w:tcBorders>
            <w:vAlign w:val="center"/>
          </w:tcPr>
          <w:p>
            <w:pPr>
              <w:jc w:val="left"/>
              <w:rPr>
                <w:rFonts w:hint="eastAsia" w:ascii="宋体" w:hAnsi="宋体" w:eastAsia="宋体" w:cs="宋体"/>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3589"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供胶系统（控制柜）</w:t>
            </w:r>
          </w:p>
        </w:tc>
        <w:tc>
          <w:tcPr>
            <w:tcW w:w="126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6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套</w:t>
            </w:r>
          </w:p>
        </w:tc>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p>
        </w:tc>
        <w:tc>
          <w:tcPr>
            <w:tcW w:w="20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1"/>
                <w:szCs w:val="21"/>
              </w:rPr>
            </w:pPr>
          </w:p>
        </w:tc>
        <w:tc>
          <w:tcPr>
            <w:tcW w:w="2267" w:type="dxa"/>
            <w:tcBorders>
              <w:top w:val="single" w:color="000000" w:sz="2" w:space="0"/>
              <w:left w:val="single" w:color="000000" w:sz="2" w:space="0"/>
              <w:bottom w:val="single" w:color="000000" w:sz="2" w:space="0"/>
              <w:right w:val="single" w:color="000000" w:sz="4" w:space="0"/>
            </w:tcBorders>
            <w:vAlign w:val="center"/>
          </w:tcPr>
          <w:p>
            <w:pPr>
              <w:jc w:val="left"/>
              <w:rPr>
                <w:rFonts w:hint="eastAsia" w:ascii="宋体" w:hAnsi="宋体" w:eastAsia="宋体" w:cs="宋体"/>
                <w:kern w:val="0"/>
                <w:sz w:val="21"/>
                <w:szCs w:val="21"/>
              </w:rPr>
            </w:pPr>
          </w:p>
        </w:tc>
        <w:tc>
          <w:tcPr>
            <w:tcW w:w="2943" w:type="dxa"/>
            <w:tcBorders>
              <w:top w:val="single" w:color="000000" w:sz="2" w:space="0"/>
              <w:left w:val="nil"/>
              <w:bottom w:val="single" w:color="000000" w:sz="2" w:space="0"/>
              <w:right w:val="single" w:color="000000" w:sz="2" w:space="0"/>
            </w:tcBorders>
            <w:vAlign w:val="center"/>
          </w:tcPr>
          <w:p>
            <w:pPr>
              <w:jc w:val="left"/>
              <w:rPr>
                <w:rFonts w:hint="eastAsia" w:ascii="宋体" w:hAnsi="宋体" w:eastAsia="宋体" w:cs="宋体"/>
                <w:kern w:val="0"/>
                <w:sz w:val="21"/>
                <w:szCs w:val="21"/>
              </w:rPr>
            </w:pPr>
          </w:p>
        </w:tc>
        <w:tc>
          <w:tcPr>
            <w:tcW w:w="846" w:type="dxa"/>
            <w:tcBorders>
              <w:top w:val="single" w:color="000000" w:sz="2" w:space="0"/>
              <w:left w:val="single" w:color="000000" w:sz="2" w:space="0"/>
              <w:bottom w:val="single" w:color="000000" w:sz="2" w:space="0"/>
              <w:right w:val="single" w:color="000000" w:sz="2" w:space="0"/>
            </w:tcBorders>
            <w:vAlign w:val="center"/>
          </w:tcPr>
          <w:p>
            <w:pPr>
              <w:jc w:val="left"/>
              <w:rPr>
                <w:rFonts w:hint="eastAsia" w:ascii="宋体" w:hAnsi="宋体" w:eastAsia="宋体" w:cs="宋体"/>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3589"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胶枪</w:t>
            </w:r>
          </w:p>
        </w:tc>
        <w:tc>
          <w:tcPr>
            <w:tcW w:w="126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6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套</w:t>
            </w:r>
          </w:p>
        </w:tc>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p>
        </w:tc>
        <w:tc>
          <w:tcPr>
            <w:tcW w:w="20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1"/>
                <w:szCs w:val="21"/>
              </w:rPr>
            </w:pPr>
          </w:p>
        </w:tc>
        <w:tc>
          <w:tcPr>
            <w:tcW w:w="2267"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sz w:val="21"/>
                <w:szCs w:val="21"/>
              </w:rPr>
            </w:pPr>
          </w:p>
        </w:tc>
        <w:tc>
          <w:tcPr>
            <w:tcW w:w="2943" w:type="dxa"/>
            <w:tcBorders>
              <w:top w:val="single" w:color="000000" w:sz="2" w:space="0"/>
              <w:left w:val="nil"/>
              <w:bottom w:val="single" w:color="000000" w:sz="2" w:space="0"/>
              <w:right w:val="single" w:color="000000" w:sz="2" w:space="0"/>
            </w:tcBorders>
            <w:vAlign w:val="center"/>
          </w:tcPr>
          <w:p>
            <w:pPr>
              <w:widowControl/>
              <w:jc w:val="left"/>
              <w:textAlignment w:val="center"/>
              <w:rPr>
                <w:rFonts w:hint="eastAsia" w:ascii="宋体" w:hAnsi="宋体" w:eastAsia="宋体" w:cs="宋体"/>
                <w:sz w:val="21"/>
                <w:szCs w:val="21"/>
              </w:rPr>
            </w:pPr>
          </w:p>
        </w:tc>
        <w:tc>
          <w:tcPr>
            <w:tcW w:w="846"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3589"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单、双组分切换</w:t>
            </w:r>
          </w:p>
        </w:tc>
        <w:tc>
          <w:tcPr>
            <w:tcW w:w="126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6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套</w:t>
            </w:r>
          </w:p>
        </w:tc>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p>
        </w:tc>
        <w:tc>
          <w:tcPr>
            <w:tcW w:w="20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1"/>
                <w:szCs w:val="21"/>
              </w:rPr>
            </w:pPr>
          </w:p>
        </w:tc>
        <w:tc>
          <w:tcPr>
            <w:tcW w:w="2267"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sz w:val="21"/>
                <w:szCs w:val="21"/>
              </w:rPr>
            </w:pPr>
          </w:p>
        </w:tc>
        <w:tc>
          <w:tcPr>
            <w:tcW w:w="2943" w:type="dxa"/>
            <w:tcBorders>
              <w:top w:val="single" w:color="000000" w:sz="2" w:space="0"/>
              <w:left w:val="nil"/>
              <w:bottom w:val="single" w:color="000000" w:sz="2" w:space="0"/>
              <w:right w:val="single" w:color="000000" w:sz="2" w:space="0"/>
            </w:tcBorders>
            <w:vAlign w:val="center"/>
          </w:tcPr>
          <w:p>
            <w:pPr>
              <w:widowControl/>
              <w:jc w:val="left"/>
              <w:textAlignment w:val="center"/>
              <w:rPr>
                <w:rFonts w:hint="eastAsia" w:ascii="宋体" w:hAnsi="宋体" w:eastAsia="宋体" w:cs="宋体"/>
                <w:sz w:val="21"/>
                <w:szCs w:val="21"/>
              </w:rPr>
            </w:pPr>
          </w:p>
        </w:tc>
        <w:tc>
          <w:tcPr>
            <w:tcW w:w="846"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w:t>
            </w:r>
          </w:p>
        </w:tc>
        <w:tc>
          <w:tcPr>
            <w:tcW w:w="3589"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胶型检测系统（控制柜及软件）</w:t>
            </w:r>
          </w:p>
        </w:tc>
        <w:tc>
          <w:tcPr>
            <w:tcW w:w="126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6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套</w:t>
            </w:r>
          </w:p>
        </w:tc>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p>
        </w:tc>
        <w:tc>
          <w:tcPr>
            <w:tcW w:w="20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1"/>
                <w:szCs w:val="21"/>
              </w:rPr>
            </w:pPr>
          </w:p>
        </w:tc>
        <w:tc>
          <w:tcPr>
            <w:tcW w:w="2267"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sz w:val="21"/>
                <w:szCs w:val="21"/>
              </w:rPr>
            </w:pPr>
          </w:p>
        </w:tc>
        <w:tc>
          <w:tcPr>
            <w:tcW w:w="2943" w:type="dxa"/>
            <w:tcBorders>
              <w:top w:val="single" w:color="000000" w:sz="2" w:space="0"/>
              <w:left w:val="nil"/>
              <w:bottom w:val="single" w:color="000000" w:sz="2" w:space="0"/>
              <w:right w:val="single" w:color="000000" w:sz="2" w:space="0"/>
            </w:tcBorders>
            <w:vAlign w:val="center"/>
          </w:tcPr>
          <w:p>
            <w:pPr>
              <w:widowControl/>
              <w:jc w:val="left"/>
              <w:textAlignment w:val="center"/>
              <w:rPr>
                <w:rFonts w:hint="eastAsia" w:ascii="宋体" w:hAnsi="宋体" w:eastAsia="宋体" w:cs="宋体"/>
                <w:sz w:val="21"/>
                <w:szCs w:val="21"/>
              </w:rPr>
            </w:pPr>
          </w:p>
        </w:tc>
        <w:tc>
          <w:tcPr>
            <w:tcW w:w="846"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w:t>
            </w:r>
          </w:p>
        </w:tc>
        <w:tc>
          <w:tcPr>
            <w:tcW w:w="3589"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胶型检测系统（不含序号6）</w:t>
            </w:r>
          </w:p>
        </w:tc>
        <w:tc>
          <w:tcPr>
            <w:tcW w:w="126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6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套</w:t>
            </w:r>
          </w:p>
        </w:tc>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p>
        </w:tc>
        <w:tc>
          <w:tcPr>
            <w:tcW w:w="20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1"/>
                <w:szCs w:val="21"/>
              </w:rPr>
            </w:pPr>
          </w:p>
        </w:tc>
        <w:tc>
          <w:tcPr>
            <w:tcW w:w="2267"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sz w:val="21"/>
                <w:szCs w:val="21"/>
              </w:rPr>
            </w:pPr>
          </w:p>
        </w:tc>
        <w:tc>
          <w:tcPr>
            <w:tcW w:w="2943" w:type="dxa"/>
            <w:tcBorders>
              <w:top w:val="single" w:color="000000" w:sz="2" w:space="0"/>
              <w:left w:val="nil"/>
              <w:bottom w:val="single" w:color="000000" w:sz="2" w:space="0"/>
              <w:right w:val="single" w:color="000000" w:sz="2" w:space="0"/>
            </w:tcBorders>
            <w:vAlign w:val="center"/>
          </w:tcPr>
          <w:p>
            <w:pPr>
              <w:widowControl/>
              <w:jc w:val="left"/>
              <w:textAlignment w:val="center"/>
              <w:rPr>
                <w:rFonts w:hint="eastAsia" w:ascii="宋体" w:hAnsi="宋体" w:eastAsia="宋体" w:cs="宋体"/>
                <w:sz w:val="21"/>
                <w:szCs w:val="21"/>
              </w:rPr>
            </w:pPr>
          </w:p>
        </w:tc>
        <w:tc>
          <w:tcPr>
            <w:tcW w:w="846"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3589"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烘干系统</w:t>
            </w:r>
          </w:p>
        </w:tc>
        <w:tc>
          <w:tcPr>
            <w:tcW w:w="126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6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套</w:t>
            </w:r>
          </w:p>
        </w:tc>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p>
        </w:tc>
        <w:tc>
          <w:tcPr>
            <w:tcW w:w="20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1"/>
                <w:szCs w:val="21"/>
              </w:rPr>
            </w:pPr>
          </w:p>
        </w:tc>
        <w:tc>
          <w:tcPr>
            <w:tcW w:w="2267"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sz w:val="21"/>
                <w:szCs w:val="21"/>
              </w:rPr>
            </w:pPr>
          </w:p>
        </w:tc>
        <w:tc>
          <w:tcPr>
            <w:tcW w:w="2943" w:type="dxa"/>
            <w:tcBorders>
              <w:top w:val="single" w:color="000000" w:sz="2" w:space="0"/>
              <w:left w:val="nil"/>
              <w:bottom w:val="single" w:color="000000" w:sz="2" w:space="0"/>
              <w:right w:val="single" w:color="000000" w:sz="2" w:space="0"/>
            </w:tcBorders>
            <w:vAlign w:val="center"/>
          </w:tcPr>
          <w:p>
            <w:pPr>
              <w:widowControl/>
              <w:jc w:val="left"/>
              <w:textAlignment w:val="center"/>
              <w:rPr>
                <w:rFonts w:hint="eastAsia" w:ascii="宋体" w:hAnsi="宋体" w:eastAsia="宋体" w:cs="宋体"/>
                <w:sz w:val="21"/>
                <w:szCs w:val="21"/>
              </w:rPr>
            </w:pPr>
          </w:p>
        </w:tc>
        <w:tc>
          <w:tcPr>
            <w:tcW w:w="846"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w:t>
            </w:r>
          </w:p>
        </w:tc>
        <w:tc>
          <w:tcPr>
            <w:tcW w:w="3589"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检修清胶系统</w:t>
            </w:r>
          </w:p>
        </w:tc>
        <w:tc>
          <w:tcPr>
            <w:tcW w:w="126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6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套</w:t>
            </w:r>
          </w:p>
        </w:tc>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sz w:val="21"/>
                <w:szCs w:val="21"/>
              </w:rPr>
            </w:pPr>
          </w:p>
        </w:tc>
        <w:tc>
          <w:tcPr>
            <w:tcW w:w="20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1"/>
                <w:szCs w:val="21"/>
              </w:rPr>
            </w:pPr>
          </w:p>
        </w:tc>
        <w:tc>
          <w:tcPr>
            <w:tcW w:w="2267"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sz w:val="21"/>
                <w:szCs w:val="21"/>
              </w:rPr>
            </w:pPr>
          </w:p>
        </w:tc>
        <w:tc>
          <w:tcPr>
            <w:tcW w:w="2943" w:type="dxa"/>
            <w:tcBorders>
              <w:top w:val="single" w:color="000000" w:sz="2" w:space="0"/>
              <w:left w:val="nil"/>
              <w:bottom w:val="single" w:color="000000" w:sz="2" w:space="0"/>
              <w:right w:val="single" w:color="000000" w:sz="2" w:space="0"/>
            </w:tcBorders>
            <w:vAlign w:val="center"/>
          </w:tcPr>
          <w:p>
            <w:pPr>
              <w:widowControl/>
              <w:jc w:val="left"/>
              <w:textAlignment w:val="center"/>
              <w:rPr>
                <w:rFonts w:hint="eastAsia" w:ascii="宋体" w:hAnsi="宋体" w:eastAsia="宋体" w:cs="宋体"/>
                <w:sz w:val="21"/>
                <w:szCs w:val="21"/>
              </w:rPr>
            </w:pPr>
          </w:p>
        </w:tc>
        <w:tc>
          <w:tcPr>
            <w:tcW w:w="846"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w:t>
            </w:r>
          </w:p>
        </w:tc>
        <w:tc>
          <w:tcPr>
            <w:tcW w:w="3589"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车型识别及定位提升</w:t>
            </w:r>
          </w:p>
        </w:tc>
        <w:tc>
          <w:tcPr>
            <w:tcW w:w="126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val="en-US" w:eastAsia="zh-CN" w:bidi="ar"/>
              </w:rPr>
            </w:pPr>
          </w:p>
        </w:tc>
        <w:tc>
          <w:tcPr>
            <w:tcW w:w="6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项</w:t>
            </w:r>
          </w:p>
        </w:tc>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宋体" w:hAnsi="宋体" w:eastAsia="宋体" w:cs="宋体"/>
                <w:kern w:val="2"/>
                <w:sz w:val="21"/>
                <w:szCs w:val="21"/>
                <w:lang w:val="en-US" w:eastAsia="zh-CN" w:bidi="ar-SA"/>
              </w:rPr>
            </w:pPr>
          </w:p>
        </w:tc>
        <w:tc>
          <w:tcPr>
            <w:tcW w:w="20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1"/>
                <w:szCs w:val="21"/>
              </w:rPr>
            </w:pPr>
          </w:p>
        </w:tc>
        <w:tc>
          <w:tcPr>
            <w:tcW w:w="2267"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sz w:val="21"/>
                <w:szCs w:val="21"/>
              </w:rPr>
            </w:pPr>
          </w:p>
        </w:tc>
        <w:tc>
          <w:tcPr>
            <w:tcW w:w="2943" w:type="dxa"/>
            <w:tcBorders>
              <w:top w:val="single" w:color="000000" w:sz="2" w:space="0"/>
              <w:left w:val="nil"/>
              <w:bottom w:val="single" w:color="000000" w:sz="2" w:space="0"/>
              <w:right w:val="single" w:color="000000" w:sz="2" w:space="0"/>
            </w:tcBorders>
            <w:vAlign w:val="center"/>
          </w:tcPr>
          <w:p>
            <w:pPr>
              <w:widowControl/>
              <w:jc w:val="left"/>
              <w:textAlignment w:val="center"/>
              <w:rPr>
                <w:rFonts w:hint="eastAsia" w:ascii="宋体" w:hAnsi="宋体" w:eastAsia="宋体" w:cs="宋体"/>
                <w:sz w:val="21"/>
                <w:szCs w:val="21"/>
              </w:rPr>
            </w:pPr>
          </w:p>
        </w:tc>
        <w:tc>
          <w:tcPr>
            <w:tcW w:w="846"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558" w:type="dxa"/>
            <w:tcBorders>
              <w:top w:val="single" w:color="000000" w:sz="2" w:space="0"/>
              <w:left w:val="single" w:color="000000" w:sz="2" w:space="0"/>
              <w:bottom w:val="single" w:color="000000" w:sz="2" w:space="0"/>
              <w:right w:val="single" w:color="000000" w:sz="4" w:space="0"/>
            </w:tcBorders>
            <w:vAlign w:val="center"/>
          </w:tcPr>
          <w:p>
            <w:pPr>
              <w:jc w:val="left"/>
              <w:rPr>
                <w:rFonts w:ascii="宋体" w:hAnsi="宋体" w:eastAsia="宋体" w:cs="Times New Roman"/>
                <w:spacing w:val="-6"/>
                <w:kern w:val="0"/>
                <w:sz w:val="20"/>
                <w:szCs w:val="20"/>
              </w:rPr>
            </w:pPr>
          </w:p>
        </w:tc>
        <w:tc>
          <w:tcPr>
            <w:tcW w:w="10560" w:type="dxa"/>
            <w:gridSpan w:val="6"/>
            <w:tcBorders>
              <w:top w:val="single" w:color="000000" w:sz="2" w:space="0"/>
              <w:left w:val="single" w:color="000000" w:sz="2" w:space="0"/>
              <w:bottom w:val="single" w:color="000000" w:sz="2" w:space="0"/>
              <w:right w:val="single" w:color="000000" w:sz="4" w:space="0"/>
            </w:tcBorders>
            <w:vAlign w:val="center"/>
          </w:tcPr>
          <w:p>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2943"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846"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注：1.以上</w:t>
      </w:r>
      <w:r>
        <w:rPr>
          <w:rFonts w:ascii="宋体" w:hAnsi="宋体" w:eastAsia="宋体" w:cs="宋体"/>
          <w:spacing w:val="-5"/>
          <w:szCs w:val="21"/>
        </w:rPr>
        <w:t>是</w:t>
      </w:r>
      <w:r>
        <w:rPr>
          <w:rFonts w:ascii="宋体" w:hAnsi="宋体" w:eastAsia="宋体" w:cs="宋体"/>
          <w:spacing w:val="-4"/>
          <w:szCs w:val="21"/>
        </w:rPr>
        <w:t>各单体设备分项报价应包括的内容，但不限于此，表中“总价合计”构成主机价格的一部分。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85" w:line="198" w:lineRule="auto"/>
        <w:ind w:left="432"/>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spacing w:before="85" w:line="198" w:lineRule="auto"/>
        <w:ind w:left="432"/>
        <w:rPr>
          <w:rFonts w:hint="eastAsia" w:ascii="宋体" w:hAnsi="宋体" w:eastAsia="宋体" w:cs="宋体"/>
          <w:spacing w:val="-4"/>
          <w:sz w:val="24"/>
          <w:szCs w:val="24"/>
        </w:rPr>
      </w:pPr>
    </w:p>
    <w:p>
      <w:pPr>
        <w:spacing w:before="85" w:line="198" w:lineRule="auto"/>
        <w:ind w:left="432"/>
        <w:rPr>
          <w:rFonts w:hint="eastAsia" w:ascii="宋体" w:hAnsi="宋体" w:eastAsia="宋体" w:cs="宋体"/>
          <w:spacing w:val="-4"/>
          <w:sz w:val="24"/>
          <w:szCs w:val="24"/>
        </w:rPr>
      </w:pPr>
    </w:p>
    <w:p>
      <w:pPr>
        <w:spacing w:before="85" w:line="198" w:lineRule="auto"/>
        <w:ind w:left="432"/>
        <w:rPr>
          <w:rFonts w:hint="default" w:ascii="宋体" w:hAnsi="宋体" w:eastAsia="宋体" w:cs="宋体"/>
          <w:spacing w:val="-4"/>
          <w:sz w:val="24"/>
          <w:szCs w:val="24"/>
          <w:lang w:val="en-US" w:eastAsia="zh-CN"/>
        </w:r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授权代表(签字)：                          年     月     日</w:t>
      </w:r>
    </w:p>
    <w:p>
      <w:pPr>
        <w:rPr>
          <w:rFonts w:hint="eastAsia" w:ascii="宋体" w:hAnsi="宋体" w:eastAsia="宋体" w:cs="宋体"/>
          <w:spacing w:val="-2"/>
          <w:sz w:val="24"/>
          <w:szCs w:val="24"/>
        </w:rPr>
      </w:pPr>
      <w:r>
        <w:rPr>
          <w:rFonts w:hint="eastAsia" w:ascii="宋体" w:hAnsi="宋体" w:eastAsia="宋体" w:cs="宋体"/>
          <w:spacing w:val="-2"/>
          <w:sz w:val="24"/>
          <w:szCs w:val="24"/>
        </w:rPr>
        <w:br w:type="page"/>
      </w: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1"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8"/>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9"/>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3"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8"/>
      </w:pPr>
    </w:p>
    <w:p>
      <w:pPr>
        <w:pStyle w:val="18"/>
      </w:pPr>
    </w:p>
    <w:p>
      <w:pPr>
        <w:spacing w:before="140" w:line="220" w:lineRule="auto"/>
        <w:ind w:left="2" w:firstLine="464" w:firstLineChars="200"/>
        <w:rPr>
          <w:rFonts w:ascii="宋体" w:hAnsi="宋体" w:eastAsia="宋体" w:cs="宋体"/>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济南商用车前风挡玻璃涂胶工作站改造项目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济南商用车前风挡玻璃涂胶工作站改造项目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tabs>
          <w:tab w:val="left" w:pos="3574"/>
        </w:tabs>
        <w:outlineLvl w:val="2"/>
        <w:rPr>
          <w:rFonts w:hint="eastAsia" w:ascii="Times New Roman" w:hAnsi="Times New Roman" w:eastAsia="宋体" w:cs="Times New Roman"/>
          <w:b/>
          <w:bCs/>
          <w:color w:val="000000"/>
          <w:sz w:val="24"/>
          <w:szCs w:val="24"/>
          <w:lang w:eastAsia="zh-CN"/>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r>
        <w:rPr>
          <w:rFonts w:hint="eastAsia" w:ascii="Times New Roman" w:hAnsi="Times New Roman" w:eastAsia="宋体" w:cs="Times New Roman"/>
          <w:b/>
          <w:bCs/>
          <w:color w:val="000000"/>
          <w:sz w:val="24"/>
          <w:szCs w:val="24"/>
          <w:lang w:eastAsia="zh-CN"/>
        </w:rPr>
        <w:tab/>
      </w:r>
      <w:bookmarkStart w:id="140" w:name="_GoBack"/>
      <w:bookmarkEnd w:id="140"/>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济南商用车前风挡玻璃涂胶工作站改造项目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8"/>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济南商用车前风挡玻璃涂胶工作站改造项目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8"/>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bookmarkStart w:id="139" w:name="OLE_LINK3"/>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Times New Roman" w:hAnsi="Times New Roman" w:eastAsia="宋体" w:cs="Times New Roman"/>
          <w:b/>
          <w:bCs/>
          <w:color w:val="000000"/>
          <w:sz w:val="24"/>
          <w:szCs w:val="24"/>
        </w:rPr>
        <w:t>评分标准</w:t>
      </w:r>
    </w:p>
    <w:tbl>
      <w:tblPr>
        <w:tblStyle w:val="37"/>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25"/>
        <w:gridCol w:w="775"/>
        <w:gridCol w:w="5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6"/>
              <w:jc w:val="center"/>
              <w:rPr>
                <w:rFonts w:hint="eastAsia" w:ascii="宋体" w:hAnsi="宋体" w:eastAsia="宋体" w:cs="Times New Roman"/>
                <w:b/>
                <w:sz w:val="18"/>
                <w:szCs w:val="18"/>
                <w:lang w:val="en-US" w:eastAsia="zh-CN"/>
              </w:rPr>
            </w:pPr>
            <w:r>
              <w:rPr>
                <w:rFonts w:hint="eastAsia" w:ascii="宋体" w:hAnsi="宋体" w:eastAsia="宋体" w:cs="Times New Roman"/>
                <w:b/>
                <w:sz w:val="18"/>
                <w:szCs w:val="18"/>
                <w:lang w:val="en-US" w:eastAsia="zh-CN"/>
              </w:rPr>
              <w:t>一</w:t>
            </w:r>
          </w:p>
        </w:tc>
        <w:tc>
          <w:tcPr>
            <w:tcW w:w="900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ind w:right="-6"/>
              <w:jc w:val="center"/>
              <w:rPr>
                <w:rFonts w:hint="eastAsia" w:ascii="宋体" w:hAnsi="宋体" w:eastAsia="宋体" w:cs="Times New Roman"/>
                <w:b/>
                <w:sz w:val="18"/>
                <w:szCs w:val="18"/>
                <w:lang w:val="en-US" w:eastAsia="zh-CN"/>
              </w:rPr>
            </w:pPr>
            <w:r>
              <w:rPr>
                <w:rFonts w:hint="eastAsia" w:ascii="宋体" w:hAnsi="宋体" w:eastAsia="宋体" w:cs="宋体"/>
                <w:b/>
                <w:sz w:val="28"/>
                <w:szCs w:val="28"/>
                <w:lang w:val="en-US" w:eastAsia="zh-CN"/>
              </w:rPr>
              <w:t>技术标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序号</w:t>
            </w:r>
          </w:p>
        </w:tc>
        <w:tc>
          <w:tcPr>
            <w:tcW w:w="32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内   容</w:t>
            </w:r>
          </w:p>
        </w:tc>
        <w:tc>
          <w:tcPr>
            <w:tcW w:w="7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标准分</w:t>
            </w:r>
          </w:p>
        </w:tc>
        <w:tc>
          <w:tcPr>
            <w:tcW w:w="50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eastAsia="宋体" w:cs="Times New Roman"/>
                <w:sz w:val="21"/>
                <w:szCs w:val="21"/>
              </w:rPr>
            </w:pPr>
            <w:r>
              <w:rPr>
                <w:rFonts w:hint="eastAsia" w:ascii="宋体" w:hAnsi="宋体" w:eastAsia="宋体" w:cs="Times New Roman"/>
                <w:sz w:val="21"/>
                <w:szCs w:val="22"/>
              </w:rPr>
              <w:t>1</w:t>
            </w:r>
          </w:p>
        </w:tc>
        <w:tc>
          <w:tcPr>
            <w:tcW w:w="32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Times New Roman" w:eastAsia="宋体" w:cs="Times New Roman"/>
                <w:sz w:val="21"/>
                <w:szCs w:val="21"/>
              </w:rPr>
            </w:pPr>
            <w:r>
              <w:rPr>
                <w:rFonts w:hint="eastAsia" w:ascii="宋体" w:hAnsi="宋体" w:eastAsia="宋体" w:cs="Times New Roman"/>
                <w:bCs/>
                <w:sz w:val="21"/>
                <w:szCs w:val="21"/>
              </w:rPr>
              <w:t>设备制造商装备制造能力、生产设备、加工工艺、完善程度</w:t>
            </w:r>
          </w:p>
        </w:tc>
        <w:tc>
          <w:tcPr>
            <w:tcW w:w="775" w:type="dxa"/>
            <w:tcBorders>
              <w:top w:val="single" w:color="auto" w:sz="4" w:space="0"/>
              <w:left w:val="single" w:color="auto" w:sz="4" w:space="0"/>
              <w:bottom w:val="single" w:color="auto" w:sz="4" w:space="0"/>
              <w:right w:val="single" w:color="auto" w:sz="4" w:space="0"/>
            </w:tcBorders>
            <w:noWrap w:val="0"/>
            <w:vAlign w:val="center"/>
          </w:tcPr>
          <w:p>
            <w:pPr>
              <w:tabs>
                <w:tab w:val="left" w:pos="13965"/>
              </w:tabs>
              <w:spacing w:line="420" w:lineRule="exact"/>
              <w:jc w:val="center"/>
              <w:rPr>
                <w:rFonts w:hint="default" w:ascii="宋体" w:hAnsi="宋体" w:eastAsia="宋体" w:cs="Times New Roman"/>
                <w:sz w:val="21"/>
                <w:szCs w:val="21"/>
                <w:lang w:val="en-US" w:eastAsia="zh-CN"/>
              </w:rPr>
            </w:pPr>
            <w:r>
              <w:rPr>
                <w:rFonts w:ascii="宋体" w:hAnsi="宋体" w:eastAsia="宋体" w:cs="Times New Roman"/>
                <w:sz w:val="21"/>
                <w:szCs w:val="21"/>
              </w:rPr>
              <w:t>20</w:t>
            </w:r>
          </w:p>
        </w:tc>
        <w:tc>
          <w:tcPr>
            <w:tcW w:w="5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default" w:ascii="宋体" w:hAnsi="宋体" w:eastAsia="宋体" w:cs="Times New Roman"/>
                <w:bCs/>
                <w:sz w:val="21"/>
                <w:szCs w:val="21"/>
                <w:lang w:val="en-US" w:eastAsia="zh-CN"/>
              </w:rPr>
            </w:pPr>
            <w:r>
              <w:rPr>
                <w:rFonts w:hint="eastAsia" w:ascii="宋体" w:hAnsi="宋体" w:eastAsia="宋体" w:cs="Times New Roman"/>
                <w:bCs/>
                <w:sz w:val="21"/>
                <w:szCs w:val="21"/>
              </w:rPr>
              <w:t>投标人的装备制造能力、生产设备、加工工艺先进、完善程度，视情况得0-</w:t>
            </w:r>
            <w:r>
              <w:rPr>
                <w:rFonts w:ascii="宋体" w:hAnsi="宋体" w:eastAsia="宋体" w:cs="Times New Roman"/>
                <w:bCs/>
                <w:sz w:val="21"/>
                <w:szCs w:val="21"/>
              </w:rPr>
              <w:t>2</w:t>
            </w:r>
            <w:r>
              <w:rPr>
                <w:rFonts w:hint="eastAsia" w:ascii="宋体" w:hAnsi="宋体"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eastAsia="宋体" w:cs="Times New Roman"/>
                <w:sz w:val="21"/>
                <w:szCs w:val="21"/>
              </w:rPr>
            </w:pPr>
            <w:r>
              <w:rPr>
                <w:rFonts w:hint="eastAsia" w:ascii="宋体" w:hAnsi="宋体" w:eastAsia="宋体" w:cs="Times New Roman"/>
                <w:sz w:val="21"/>
                <w:szCs w:val="22"/>
              </w:rPr>
              <w:t>2</w:t>
            </w:r>
          </w:p>
        </w:tc>
        <w:tc>
          <w:tcPr>
            <w:tcW w:w="32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Times New Roman" w:eastAsia="宋体" w:cs="Times New Roman"/>
                <w:bCs/>
                <w:sz w:val="21"/>
                <w:szCs w:val="21"/>
              </w:rPr>
            </w:pPr>
            <w:r>
              <w:rPr>
                <w:rFonts w:hint="eastAsia" w:ascii="宋体" w:hAnsi="Times New Roman" w:eastAsia="宋体" w:cs="Times New Roman"/>
                <w:bCs/>
                <w:sz w:val="21"/>
                <w:szCs w:val="21"/>
              </w:rPr>
              <w:t>产品方案技术先进、各系统完善、性能可靠，设备主要核心部件，具备自身技术优势</w:t>
            </w:r>
          </w:p>
        </w:tc>
        <w:tc>
          <w:tcPr>
            <w:tcW w:w="77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cs="Times New Roman"/>
                <w:sz w:val="21"/>
                <w:szCs w:val="21"/>
                <w:lang w:val="en-US" w:eastAsia="zh-CN"/>
              </w:rPr>
            </w:pPr>
            <w:r>
              <w:rPr>
                <w:rFonts w:hint="eastAsia" w:ascii="宋体" w:hAnsi="宋体" w:eastAsia="宋体" w:cs="Times New Roman"/>
                <w:sz w:val="21"/>
                <w:szCs w:val="21"/>
              </w:rPr>
              <w:t>40</w:t>
            </w:r>
          </w:p>
        </w:tc>
        <w:tc>
          <w:tcPr>
            <w:tcW w:w="5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default" w:ascii="宋体" w:hAnsi="宋体" w:eastAsia="宋体" w:cs="Times New Roman"/>
                <w:bCs/>
                <w:sz w:val="21"/>
                <w:szCs w:val="21"/>
                <w:lang w:val="en-US" w:eastAsia="zh-CN"/>
              </w:rPr>
            </w:pPr>
            <w:r>
              <w:rPr>
                <w:rFonts w:hint="eastAsia" w:ascii="宋体" w:hAnsi="宋体" w:eastAsia="宋体" w:cs="Times New Roman"/>
                <w:bCs/>
                <w:sz w:val="21"/>
                <w:szCs w:val="21"/>
              </w:rPr>
              <w:t>产品方案技术先进、各系统完善、性能可靠，设备主要核心部件，具备自身技术优势，节能环保，视情况得0-40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eastAsia="宋体" w:cs="Times New Roman"/>
                <w:sz w:val="21"/>
                <w:szCs w:val="21"/>
              </w:rPr>
            </w:pPr>
            <w:r>
              <w:rPr>
                <w:rFonts w:hint="eastAsia" w:ascii="宋体" w:hAnsi="宋体" w:eastAsia="宋体" w:cs="Times New Roman"/>
                <w:sz w:val="21"/>
                <w:szCs w:val="22"/>
              </w:rPr>
              <w:t>3</w:t>
            </w:r>
          </w:p>
        </w:tc>
        <w:tc>
          <w:tcPr>
            <w:tcW w:w="32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Times New Roman" w:eastAsia="宋体" w:cs="Times New Roman"/>
                <w:bCs/>
                <w:sz w:val="21"/>
                <w:szCs w:val="21"/>
              </w:rPr>
            </w:pPr>
            <w:r>
              <w:rPr>
                <w:rFonts w:hint="eastAsia" w:ascii="宋体" w:hAnsi="宋体" w:eastAsia="宋体" w:cs="Times New Roman"/>
                <w:bCs/>
                <w:sz w:val="21"/>
                <w:szCs w:val="21"/>
              </w:rPr>
              <w:t>产品维保</w:t>
            </w:r>
          </w:p>
        </w:tc>
        <w:tc>
          <w:tcPr>
            <w:tcW w:w="77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cs="Times New Roman"/>
                <w:sz w:val="21"/>
                <w:szCs w:val="21"/>
                <w:lang w:val="en-US" w:eastAsia="zh-CN"/>
              </w:rPr>
            </w:pPr>
            <w:r>
              <w:rPr>
                <w:rFonts w:ascii="宋体" w:hAnsi="宋体" w:eastAsia="宋体" w:cs="Times New Roman"/>
                <w:sz w:val="21"/>
                <w:szCs w:val="21"/>
              </w:rPr>
              <w:t>10</w:t>
            </w:r>
          </w:p>
        </w:tc>
        <w:tc>
          <w:tcPr>
            <w:tcW w:w="5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eastAsia="宋体" w:cs="Times New Roman"/>
                <w:bCs/>
                <w:sz w:val="21"/>
                <w:szCs w:val="21"/>
              </w:rPr>
            </w:pPr>
            <w:r>
              <w:rPr>
                <w:rFonts w:hint="eastAsia" w:ascii="宋体" w:hAnsi="宋体" w:eastAsia="宋体" w:cs="Times New Roman"/>
                <w:bCs/>
                <w:sz w:val="21"/>
                <w:szCs w:val="21"/>
              </w:rPr>
              <w:t>易于维修、操作方便，产品附件配置齐全，质量可靠，设备在使用期内的维护费用，视情况得0-</w:t>
            </w:r>
            <w:r>
              <w:rPr>
                <w:rFonts w:ascii="宋体" w:hAnsi="宋体" w:eastAsia="宋体" w:cs="Times New Roman"/>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Times New Roman"/>
                <w:sz w:val="21"/>
                <w:szCs w:val="21"/>
                <w:lang w:eastAsia="zh-CN"/>
              </w:rPr>
            </w:pPr>
            <w:r>
              <w:rPr>
                <w:rFonts w:hint="eastAsia" w:ascii="宋体" w:hAnsi="宋体" w:eastAsia="宋体" w:cs="Times New Roman"/>
                <w:sz w:val="21"/>
                <w:szCs w:val="22"/>
                <w:lang w:val="en-US" w:eastAsia="zh-CN"/>
              </w:rPr>
              <w:t>4</w:t>
            </w:r>
          </w:p>
        </w:tc>
        <w:tc>
          <w:tcPr>
            <w:tcW w:w="32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Times New Roman" w:eastAsia="宋体" w:cs="Times New Roman"/>
                <w:sz w:val="21"/>
                <w:szCs w:val="21"/>
              </w:rPr>
            </w:pPr>
            <w:r>
              <w:rPr>
                <w:rFonts w:hint="eastAsia" w:ascii="宋体" w:hAnsi="Times New Roman" w:eastAsia="宋体" w:cs="Times New Roman"/>
                <w:bCs/>
                <w:sz w:val="21"/>
                <w:szCs w:val="21"/>
              </w:rPr>
              <w:t>计划控制及项目交期</w:t>
            </w:r>
          </w:p>
        </w:tc>
        <w:tc>
          <w:tcPr>
            <w:tcW w:w="77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Times New Roman"/>
                <w:sz w:val="21"/>
                <w:szCs w:val="21"/>
                <w:lang w:eastAsia="zh-CN"/>
              </w:rPr>
            </w:pPr>
            <w:r>
              <w:rPr>
                <w:rFonts w:hint="eastAsia" w:ascii="宋体" w:hAnsi="宋体" w:eastAsia="宋体" w:cs="Times New Roman"/>
                <w:sz w:val="21"/>
                <w:szCs w:val="21"/>
                <w:lang w:val="en-US" w:eastAsia="zh-CN"/>
              </w:rPr>
              <w:t>5</w:t>
            </w:r>
          </w:p>
        </w:tc>
        <w:tc>
          <w:tcPr>
            <w:tcW w:w="5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Times New Roman" w:eastAsia="宋体" w:cs="Times New Roman"/>
                <w:bCs/>
                <w:sz w:val="21"/>
                <w:szCs w:val="21"/>
              </w:rPr>
            </w:pPr>
            <w:r>
              <w:rPr>
                <w:rFonts w:hint="eastAsia" w:ascii="宋体" w:hAnsi="宋体" w:eastAsia="宋体" w:cs="Times New Roman"/>
                <w:bCs/>
                <w:sz w:val="21"/>
                <w:szCs w:val="21"/>
              </w:rPr>
              <w:t>有详细可行的项目计划</w:t>
            </w:r>
            <w:r>
              <w:rPr>
                <w:rFonts w:hint="eastAsia" w:ascii="宋体" w:hAnsi="宋体" w:eastAsia="宋体" w:cs="Times New Roman"/>
                <w:bCs/>
                <w:sz w:val="21"/>
                <w:szCs w:val="21"/>
                <w:lang w:eastAsia="zh-CN"/>
              </w:rPr>
              <w:t>，</w:t>
            </w:r>
            <w:r>
              <w:rPr>
                <w:rFonts w:hint="eastAsia" w:ascii="宋体" w:hAnsi="宋体" w:eastAsia="宋体" w:cs="Times New Roman"/>
                <w:bCs/>
                <w:sz w:val="21"/>
                <w:szCs w:val="21"/>
              </w:rPr>
              <w:t>能保证项目进度，有风险管理，可以提前完成项目交货，综合评审，自主赋分。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Times New Roman"/>
                <w:sz w:val="21"/>
                <w:szCs w:val="21"/>
                <w:lang w:eastAsia="zh-CN"/>
              </w:rPr>
            </w:pPr>
            <w:r>
              <w:rPr>
                <w:rFonts w:hint="eastAsia" w:ascii="宋体" w:hAnsi="宋体" w:eastAsia="宋体" w:cs="Times New Roman"/>
                <w:sz w:val="21"/>
                <w:szCs w:val="22"/>
                <w:lang w:val="en-US" w:eastAsia="zh-CN"/>
              </w:rPr>
              <w:t>5</w:t>
            </w:r>
          </w:p>
        </w:tc>
        <w:tc>
          <w:tcPr>
            <w:tcW w:w="32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Times New Roman" w:eastAsia="宋体" w:cs="Times New Roman"/>
                <w:sz w:val="21"/>
                <w:szCs w:val="21"/>
              </w:rPr>
            </w:pPr>
            <w:r>
              <w:rPr>
                <w:rFonts w:hint="eastAsia" w:ascii="宋体" w:hAnsi="Times New Roman" w:eastAsia="宋体" w:cs="Times New Roman"/>
                <w:sz w:val="21"/>
                <w:szCs w:val="21"/>
              </w:rPr>
              <w:t>技术偏离</w:t>
            </w:r>
          </w:p>
        </w:tc>
        <w:tc>
          <w:tcPr>
            <w:tcW w:w="77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eastAsia="宋体" w:cs="Times New Roman"/>
                <w:sz w:val="21"/>
                <w:szCs w:val="21"/>
              </w:rPr>
            </w:pPr>
            <w:r>
              <w:rPr>
                <w:rFonts w:hint="eastAsia" w:ascii="宋体" w:hAnsi="宋体" w:eastAsia="宋体" w:cs="Times New Roman"/>
                <w:sz w:val="21"/>
                <w:szCs w:val="21"/>
              </w:rPr>
              <w:t>5</w:t>
            </w:r>
          </w:p>
        </w:tc>
        <w:tc>
          <w:tcPr>
            <w:tcW w:w="5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left"/>
              <w:rPr>
                <w:rFonts w:ascii="宋体" w:hAnsi="Times New Roman" w:eastAsia="宋体" w:cs="Times New Roman"/>
                <w:bCs/>
                <w:sz w:val="21"/>
                <w:szCs w:val="21"/>
              </w:rPr>
            </w:pPr>
            <w:r>
              <w:rPr>
                <w:rFonts w:hint="eastAsia" w:ascii="宋体" w:hAnsi="Times New Roman" w:eastAsia="宋体" w:cs="Times New Roman"/>
                <w:bCs/>
                <w:sz w:val="21"/>
                <w:szCs w:val="21"/>
              </w:rPr>
              <w:t>技术方案优于招标要求的加分，不满足招标要求的减分，综合评议，自主赋分。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Times New Roman"/>
                <w:sz w:val="21"/>
                <w:szCs w:val="21"/>
                <w:lang w:eastAsia="zh-CN"/>
              </w:rPr>
            </w:pPr>
            <w:r>
              <w:rPr>
                <w:rFonts w:hint="eastAsia" w:ascii="宋体" w:hAnsi="宋体" w:eastAsia="宋体" w:cs="Times New Roman"/>
                <w:sz w:val="21"/>
                <w:szCs w:val="22"/>
                <w:lang w:val="en-US" w:eastAsia="zh-CN"/>
              </w:rPr>
              <w:t>6</w:t>
            </w:r>
          </w:p>
        </w:tc>
        <w:tc>
          <w:tcPr>
            <w:tcW w:w="32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eastAsia="宋体" w:cs="Times New Roman"/>
                <w:sz w:val="21"/>
                <w:szCs w:val="21"/>
              </w:rPr>
            </w:pPr>
            <w:r>
              <w:rPr>
                <w:rFonts w:hint="eastAsia" w:ascii="宋体" w:hAnsi="宋体" w:eastAsia="宋体" w:cs="Times New Roman"/>
                <w:sz w:val="21"/>
                <w:szCs w:val="21"/>
              </w:rPr>
              <w:t>业绩</w:t>
            </w:r>
          </w:p>
        </w:tc>
        <w:tc>
          <w:tcPr>
            <w:tcW w:w="77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10</w:t>
            </w:r>
          </w:p>
        </w:tc>
        <w:tc>
          <w:tcPr>
            <w:tcW w:w="5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default" w:ascii="宋体" w:hAnsi="Times New Roman" w:eastAsia="宋体" w:cs="Times New Roman"/>
                <w:bCs/>
                <w:sz w:val="21"/>
                <w:szCs w:val="21"/>
                <w:lang w:val="en-US" w:eastAsia="zh-CN"/>
              </w:rPr>
            </w:pPr>
            <w:r>
              <w:rPr>
                <w:rFonts w:hint="eastAsia" w:ascii="宋体" w:hAnsi="Times New Roman" w:eastAsia="宋体" w:cs="Times New Roman"/>
                <w:bCs/>
                <w:sz w:val="21"/>
                <w:szCs w:val="21"/>
              </w:rPr>
              <w:t>最近连续三年有国内或国外知名品牌商用车或乘用车供货经历和经验或其他大型供货经历，</w:t>
            </w:r>
            <w:r>
              <w:rPr>
                <w:rFonts w:hint="eastAsia" w:ascii="宋体" w:hAnsi="Times New Roman" w:eastAsia="宋体" w:cs="Times New Roman"/>
                <w:bCs/>
                <w:sz w:val="21"/>
                <w:szCs w:val="21"/>
                <w:lang w:val="en-US" w:eastAsia="zh-CN"/>
              </w:rPr>
              <w:t>每</w:t>
            </w:r>
            <w:r>
              <w:rPr>
                <w:rFonts w:hint="eastAsia" w:ascii="宋体" w:hAnsi="Times New Roman" w:eastAsia="宋体" w:cs="Times New Roman"/>
                <w:bCs/>
                <w:sz w:val="21"/>
                <w:szCs w:val="21"/>
              </w:rPr>
              <w:t>提供</w:t>
            </w:r>
            <w:r>
              <w:rPr>
                <w:rFonts w:hint="eastAsia" w:ascii="宋体" w:hAnsi="Times New Roman" w:eastAsia="宋体" w:cs="Times New Roman"/>
                <w:bCs/>
                <w:sz w:val="21"/>
                <w:szCs w:val="21"/>
                <w:lang w:val="en-US" w:eastAsia="zh-CN"/>
              </w:rPr>
              <w:t>1</w:t>
            </w:r>
            <w:r>
              <w:rPr>
                <w:rFonts w:hint="eastAsia" w:ascii="宋体" w:hAnsi="Times New Roman" w:eastAsia="宋体" w:cs="Times New Roman"/>
                <w:bCs/>
                <w:sz w:val="21"/>
                <w:szCs w:val="21"/>
              </w:rPr>
              <w:t>份投标同类产品开发合同证明材料，得</w:t>
            </w:r>
            <w:r>
              <w:rPr>
                <w:rFonts w:hint="eastAsia" w:ascii="宋体" w:hAnsi="Times New Roman" w:eastAsia="宋体" w:cs="Times New Roman"/>
                <w:bCs/>
                <w:sz w:val="21"/>
                <w:szCs w:val="21"/>
                <w:lang w:val="en-US" w:eastAsia="zh-CN"/>
              </w:rPr>
              <w:t>2</w:t>
            </w:r>
            <w:r>
              <w:rPr>
                <w:rFonts w:hint="eastAsia" w:ascii="宋体" w:hAnsi="Times New Roman" w:eastAsia="宋体" w:cs="Times New Roman"/>
                <w:bCs/>
                <w:sz w:val="21"/>
                <w:szCs w:val="21"/>
              </w:rPr>
              <w:t>分；</w:t>
            </w:r>
            <w:r>
              <w:rPr>
                <w:rFonts w:hint="eastAsia" w:ascii="宋体" w:hAnsi="Times New Roman" w:eastAsia="宋体" w:cs="Times New Roman"/>
                <w:bCs/>
                <w:sz w:val="21"/>
                <w:szCs w:val="21"/>
                <w:lang w:val="en-US" w:eastAsia="zh-CN"/>
              </w:rPr>
              <w:t>满分10分。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cs="Times New Roman"/>
                <w:sz w:val="21"/>
                <w:szCs w:val="22"/>
                <w:lang w:val="en-US" w:eastAsia="zh-CN"/>
              </w:rPr>
            </w:pPr>
            <w:r>
              <w:rPr>
                <w:rFonts w:hint="eastAsia" w:ascii="宋体" w:hAnsi="宋体" w:eastAsia="宋体" w:cs="Times New Roman"/>
                <w:sz w:val="21"/>
                <w:szCs w:val="22"/>
                <w:lang w:val="en-US" w:eastAsia="zh-CN"/>
              </w:rPr>
              <w:t>7</w:t>
            </w:r>
          </w:p>
        </w:tc>
        <w:tc>
          <w:tcPr>
            <w:tcW w:w="32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ascii="宋体" w:hAnsi="宋体" w:eastAsia="宋体" w:cs="Times New Roman"/>
                <w:sz w:val="21"/>
                <w:szCs w:val="22"/>
                <w:lang w:val="en-US" w:eastAsia="zh-CN"/>
              </w:rPr>
            </w:pPr>
            <w:r>
              <w:rPr>
                <w:rFonts w:hint="eastAsia" w:ascii="宋体" w:hAnsi="宋体" w:eastAsia="宋体" w:cs="Times New Roman"/>
                <w:sz w:val="21"/>
                <w:szCs w:val="21"/>
              </w:rPr>
              <w:t>质量保证</w:t>
            </w:r>
          </w:p>
        </w:tc>
        <w:tc>
          <w:tcPr>
            <w:tcW w:w="77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Times New Roman"/>
                <w:sz w:val="21"/>
                <w:szCs w:val="22"/>
                <w:lang w:val="en-US" w:eastAsia="zh-CN"/>
              </w:rPr>
            </w:pPr>
            <w:r>
              <w:rPr>
                <w:rFonts w:hint="eastAsia" w:ascii="宋体" w:hAnsi="宋体" w:eastAsia="宋体" w:cs="Times New Roman"/>
                <w:sz w:val="21"/>
                <w:szCs w:val="21"/>
              </w:rPr>
              <w:t>5</w:t>
            </w:r>
          </w:p>
        </w:tc>
        <w:tc>
          <w:tcPr>
            <w:tcW w:w="5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ascii="宋体" w:hAnsi="宋体" w:eastAsia="宋体" w:cs="Times New Roman"/>
                <w:bCs/>
                <w:sz w:val="21"/>
                <w:szCs w:val="22"/>
              </w:rPr>
            </w:pPr>
            <w:r>
              <w:rPr>
                <w:rFonts w:hint="eastAsia" w:ascii="宋体" w:hAnsi="Times New Roman" w:eastAsia="宋体" w:cs="Times New Roman"/>
                <w:bCs/>
                <w:sz w:val="21"/>
                <w:szCs w:val="21"/>
              </w:rPr>
              <w:t>具有良好的质量管理体系和完备的检测体系，保证设备造质量符合要求（提供相应证明材料）。根据提供的资料综合评审，自主赋分。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Times New Roman"/>
                <w:sz w:val="21"/>
                <w:szCs w:val="21"/>
                <w:lang w:eastAsia="zh-CN"/>
              </w:rPr>
            </w:pPr>
            <w:r>
              <w:rPr>
                <w:rFonts w:hint="eastAsia" w:ascii="宋体" w:hAnsi="宋体" w:eastAsia="宋体" w:cs="Times New Roman"/>
                <w:sz w:val="21"/>
                <w:szCs w:val="22"/>
                <w:lang w:val="en-US" w:eastAsia="zh-CN"/>
              </w:rPr>
              <w:t>8</w:t>
            </w:r>
          </w:p>
        </w:tc>
        <w:tc>
          <w:tcPr>
            <w:tcW w:w="32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default" w:ascii="宋体" w:hAnsi="宋体" w:eastAsia="宋体" w:cs="Times New Roman"/>
                <w:sz w:val="21"/>
                <w:szCs w:val="21"/>
                <w:lang w:val="en-US" w:eastAsia="zh-CN"/>
              </w:rPr>
            </w:pPr>
            <w:r>
              <w:rPr>
                <w:rFonts w:hint="eastAsia" w:ascii="宋体" w:hAnsi="宋体" w:eastAsia="宋体" w:cs="Times New Roman"/>
                <w:sz w:val="21"/>
                <w:szCs w:val="21"/>
              </w:rPr>
              <w:t>售后服务</w:t>
            </w:r>
          </w:p>
        </w:tc>
        <w:tc>
          <w:tcPr>
            <w:tcW w:w="77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cs="Times New Roman"/>
                <w:sz w:val="21"/>
                <w:szCs w:val="21"/>
                <w:lang w:val="en-US" w:eastAsia="zh-CN"/>
              </w:rPr>
            </w:pPr>
            <w:r>
              <w:rPr>
                <w:rFonts w:hint="eastAsia" w:ascii="宋体" w:hAnsi="宋体" w:eastAsia="宋体" w:cs="Times New Roman"/>
                <w:sz w:val="21"/>
                <w:szCs w:val="21"/>
              </w:rPr>
              <w:t>5</w:t>
            </w:r>
          </w:p>
        </w:tc>
        <w:tc>
          <w:tcPr>
            <w:tcW w:w="5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default" w:ascii="宋体" w:hAnsi="Times New Roman" w:eastAsia="宋体" w:cs="Times New Roman"/>
                <w:bCs/>
                <w:sz w:val="21"/>
                <w:szCs w:val="21"/>
                <w:lang w:val="en-US" w:eastAsia="zh-CN"/>
              </w:rPr>
            </w:pPr>
            <w:r>
              <w:rPr>
                <w:rFonts w:hint="eastAsia" w:ascii="宋体" w:hAnsi="Times New Roman" w:eastAsia="宋体" w:cs="Times New Roman"/>
                <w:bCs/>
                <w:sz w:val="21"/>
                <w:szCs w:val="21"/>
              </w:rPr>
              <w:t>根据投标文件中提供的质量保证措施、售后服务方案等的响应情况综合评审赋分。</w:t>
            </w:r>
          </w:p>
        </w:tc>
      </w:tr>
    </w:tbl>
    <w:p>
      <w:pPr>
        <w:pStyle w:val="2"/>
        <w:rPr>
          <w:rFonts w:hint="eastAsia" w:ascii="Times New Roman" w:hAnsi="Times New Roman" w:eastAsia="宋体" w:cs="Times New Roman"/>
          <w:b/>
          <w:bCs/>
          <w:color w:val="000000"/>
          <w:sz w:val="24"/>
          <w:szCs w:val="24"/>
        </w:rPr>
      </w:pPr>
    </w:p>
    <w:p>
      <w:pPr>
        <w:pStyle w:val="2"/>
        <w:rPr>
          <w:rFonts w:hint="eastAsia" w:ascii="Times New Roman" w:hAnsi="Times New Roman" w:eastAsia="宋体" w:cs="Times New Roman"/>
          <w:b/>
          <w:bCs/>
          <w:color w:val="000000"/>
          <w:sz w:val="24"/>
          <w:szCs w:val="24"/>
        </w:rPr>
      </w:pPr>
    </w:p>
    <w:p>
      <w:pPr>
        <w:rPr>
          <w:rFonts w:hint="eastAsia" w:ascii="宋体" w:hAnsi="宋体" w:eastAsia="宋体" w:cs="宋体"/>
          <w:sz w:val="18"/>
          <w:szCs w:val="18"/>
        </w:rPr>
      </w:pPr>
    </w:p>
    <w:tbl>
      <w:tblPr>
        <w:tblStyle w:val="37"/>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Times New Roman"/>
                <w:sz w:val="21"/>
                <w:szCs w:val="22"/>
                <w:lang w:val="en-US" w:eastAsia="zh-CN"/>
              </w:rPr>
            </w:pPr>
            <w:r>
              <w:rPr>
                <w:rFonts w:hint="eastAsia" w:ascii="宋体" w:hAnsi="宋体" w:eastAsia="宋体" w:cs="宋体"/>
                <w:b/>
                <w:sz w:val="28"/>
                <w:szCs w:val="28"/>
                <w:lang w:val="en-US" w:eastAsia="zh-CN"/>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ascii="宋体" w:hAnsi="宋体" w:eastAsia="宋体" w:cs="Times New Roman"/>
                <w:bCs/>
                <w:sz w:val="21"/>
                <w:szCs w:val="22"/>
                <w:lang w:val="en-US" w:eastAsia="zh-CN"/>
              </w:rPr>
            </w:pPr>
            <w:r>
              <w:rPr>
                <w:rFonts w:hint="eastAsia" w:ascii="宋体" w:hAnsi="宋体" w:eastAsia="宋体" w:cs="宋体"/>
                <w:b/>
                <w:sz w:val="28"/>
                <w:szCs w:val="28"/>
                <w:lang w:val="en-US" w:eastAsia="zh-CN"/>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ascii="宋体" w:hAnsi="Times New Roman" w:eastAsia="宋体" w:cs="Times New Roman"/>
                <w:bCs/>
                <w:sz w:val="21"/>
                <w:szCs w:val="21"/>
              </w:rPr>
            </w:pPr>
            <w:r>
              <w:rPr>
                <w:rFonts w:hint="eastAsia" w:ascii="宋体" w:hAnsi="Times New Roman" w:eastAsia="宋体" w:cs="Times New Roman"/>
                <w:bCs/>
                <w:sz w:val="21"/>
                <w:szCs w:val="21"/>
              </w:rPr>
              <w:t xml:space="preserve">评标基准价： </w:t>
            </w:r>
          </w:p>
          <w:p>
            <w:pPr>
              <w:spacing w:line="420" w:lineRule="exact"/>
              <w:rPr>
                <w:rFonts w:hint="eastAsia" w:ascii="宋体" w:hAnsi="Times New Roman" w:eastAsia="宋体" w:cs="Times New Roman"/>
                <w:bCs/>
                <w:sz w:val="21"/>
                <w:szCs w:val="21"/>
              </w:rPr>
            </w:pPr>
            <w:r>
              <w:rPr>
                <w:rFonts w:hint="eastAsia" w:ascii="宋体" w:hAnsi="Times New Roman" w:eastAsia="宋体" w:cs="Times New Roman"/>
                <w:bCs/>
                <w:sz w:val="21"/>
                <w:szCs w:val="21"/>
              </w:rPr>
              <w:t>1、评标基准价为所有合理有效的最终投标报价的最低价。</w:t>
            </w:r>
          </w:p>
          <w:p>
            <w:pPr>
              <w:spacing w:line="420" w:lineRule="exact"/>
              <w:rPr>
                <w:rFonts w:hint="eastAsia" w:ascii="宋体" w:hAnsi="Times New Roman" w:eastAsia="宋体" w:cs="Times New Roman"/>
                <w:bCs/>
                <w:sz w:val="21"/>
                <w:szCs w:val="21"/>
              </w:rPr>
            </w:pPr>
            <w:r>
              <w:rPr>
                <w:rFonts w:hint="eastAsia" w:ascii="宋体" w:hAnsi="Times New Roman" w:eastAsia="宋体" w:cs="Times New Roman"/>
                <w:bCs/>
                <w:sz w:val="21"/>
                <w:szCs w:val="21"/>
              </w:rPr>
              <w:t>2、有效的评标基准价得</w:t>
            </w:r>
            <w:r>
              <w:rPr>
                <w:rFonts w:hint="eastAsia" w:ascii="宋体" w:hAnsi="Times New Roman" w:eastAsia="宋体" w:cs="Times New Roman"/>
                <w:bCs/>
                <w:sz w:val="21"/>
                <w:szCs w:val="21"/>
                <w:lang w:val="en-US" w:eastAsia="zh-CN"/>
              </w:rPr>
              <w:t>100</w:t>
            </w:r>
            <w:r>
              <w:rPr>
                <w:rFonts w:hint="eastAsia" w:ascii="宋体" w:hAnsi="Times New Roman" w:eastAsia="宋体" w:cs="Times New Roman"/>
                <w:bCs/>
                <w:sz w:val="21"/>
                <w:szCs w:val="21"/>
              </w:rPr>
              <w:t>分；其他投标人的价格得分按下列公式计算：投标价格得分=</w:t>
            </w:r>
            <w:r>
              <w:rPr>
                <w:rFonts w:hint="eastAsia" w:ascii="宋体" w:hAnsi="Times New Roman" w:eastAsia="宋体" w:cs="Times New Roman"/>
                <w:bCs/>
                <w:sz w:val="21"/>
                <w:szCs w:val="21"/>
                <w:lang w:val="en-US" w:eastAsia="zh-CN"/>
              </w:rPr>
              <w:t>100</w:t>
            </w:r>
            <w:r>
              <w:rPr>
                <w:rFonts w:hint="eastAsia" w:ascii="宋体" w:hAnsi="Times New Roman" w:eastAsia="宋体" w:cs="Times New Roman"/>
                <w:bCs/>
                <w:sz w:val="21"/>
                <w:szCs w:val="21"/>
              </w:rPr>
              <w:t>×（评标基准价/投标报价）。</w:t>
            </w:r>
          </w:p>
          <w:p>
            <w:pPr>
              <w:spacing w:line="420" w:lineRule="exact"/>
              <w:rPr>
                <w:rFonts w:hint="eastAsia" w:ascii="宋体" w:hAnsi="宋体" w:eastAsia="宋体" w:cs="Times New Roman"/>
                <w:bCs/>
                <w:sz w:val="21"/>
                <w:szCs w:val="22"/>
              </w:rPr>
            </w:pPr>
            <w:r>
              <w:rPr>
                <w:rFonts w:hint="eastAsia" w:ascii="宋体" w:hAnsi="Times New Roman" w:eastAsia="宋体" w:cs="Times New Roman"/>
                <w:bCs/>
                <w:sz w:val="21"/>
                <w:szCs w:val="21"/>
              </w:rPr>
              <w:t xml:space="preserve">注：得分值取小数点后两位，不足一个百分点的，按照四舍五入法计算。 </w:t>
            </w:r>
          </w:p>
        </w:tc>
      </w:tr>
      <w:bookmarkEnd w:id="139"/>
    </w:tbl>
    <w:p>
      <w:pPr>
        <w:rPr>
          <w:rFonts w:hint="eastAsia" w:ascii="宋体" w:hAnsi="宋体" w:eastAsia="宋体" w:cs="宋体"/>
          <w:sz w:val="18"/>
          <w:szCs w:val="18"/>
        </w:rPr>
      </w:pPr>
    </w:p>
    <w:p>
      <w:pPr>
        <w:pStyle w:val="2"/>
        <w:rPr>
          <w:rFonts w:hint="eastAsia"/>
        </w:rPr>
      </w:pPr>
    </w:p>
    <w:p>
      <w:pPr>
        <w:pStyle w:val="18"/>
        <w:outlineLvl w:val="2"/>
        <w:rPr>
          <w:rFonts w:hint="eastAsia" w:ascii="宋体" w:hAnsi="宋体" w:eastAsia="宋体" w:cs="宋体"/>
          <w:b/>
          <w:bCs/>
          <w:color w:val="000000"/>
          <w:sz w:val="24"/>
          <w:szCs w:val="24"/>
          <w:lang w:val="en-US" w:eastAsia="zh-CN"/>
        </w:rPr>
      </w:pPr>
    </w:p>
    <w:p>
      <w:pPr>
        <w:pStyle w:val="18"/>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8"/>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default" w:ascii="宋体" w:hAnsi="宋体" w:eastAsia="宋体" w:cs="宋体"/>
          <w:sz w:val="24"/>
          <w:szCs w:val="28"/>
          <w:lang w:val="en-US" w:eastAsia="zh-CN"/>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w:t>
      </w:r>
      <w:r>
        <w:rPr>
          <w:rFonts w:hint="eastAsia" w:ascii="宋体" w:hAnsi="宋体" w:eastAsia="宋体" w:cs="宋体"/>
          <w:i w:val="0"/>
          <w:strike w:val="0"/>
          <w:color w:val="000000"/>
          <w:sz w:val="24"/>
          <w:szCs w:val="28"/>
          <w:u w:val="none"/>
          <w:lang w:val="en-US" w:eastAsia="zh-CN"/>
        </w:rPr>
        <w:t>供应商属性填写“非生产”、管理单位及意向配套单位均选择“直管单位”</w:t>
      </w:r>
    </w:p>
    <w:p>
      <w:pPr>
        <w:pStyle w:val="18"/>
        <w:rPr>
          <w:rFonts w:hint="default"/>
          <w:lang w:val="en-US" w:eastAsia="zh-CN"/>
        </w:rPr>
      </w:pPr>
      <w:r>
        <w:rPr>
          <w:rFonts w:hint="default"/>
          <w:lang w:val="en-US" w:eastAsia="zh-CN"/>
        </w:rPr>
        <w:drawing>
          <wp:inline distT="0" distB="0" distL="114300" distR="114300">
            <wp:extent cx="5420995" cy="2151380"/>
            <wp:effectExtent l="0" t="0" r="8255" b="1270"/>
            <wp:docPr id="31" name="图片 31" descr="企业微信截图_1742373716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企业微信截图_17423737163589"/>
                    <pic:cNvPicPr>
                      <a:picLocks noChangeAspect="1"/>
                    </pic:cNvPicPr>
                  </pic:nvPicPr>
                  <pic:blipFill>
                    <a:blip r:embed="rId45"/>
                    <a:stretch>
                      <a:fillRect/>
                    </a:stretch>
                  </pic:blipFill>
                  <pic:spPr>
                    <a:xfrm>
                      <a:off x="0" y="0"/>
                      <a:ext cx="5420995" cy="2151380"/>
                    </a:xfrm>
                    <a:prstGeom prst="rect">
                      <a:avLst/>
                    </a:prstGeom>
                  </pic:spPr>
                </pic:pic>
              </a:graphicData>
            </a:graphic>
          </wp:inline>
        </w:drawing>
      </w:r>
    </w:p>
    <w:p>
      <w:pPr>
        <w:snapToGrid/>
        <w:spacing w:before="0" w:after="0" w:line="360" w:lineRule="auto"/>
        <w:ind w:left="0" w:right="0" w:firstLine="0"/>
        <w:jc w:val="both"/>
        <w:rPr>
          <w:rFonts w:hint="default" w:ascii="宋体" w:hAnsi="宋体" w:eastAsia="宋体" w:cs="宋体"/>
          <w:sz w:val="24"/>
          <w:szCs w:val="28"/>
          <w:lang w:val="en-US" w:eastAsia="zh-CN"/>
        </w:rPr>
      </w:pPr>
      <w:r>
        <w:rPr>
          <w:rFonts w:hint="eastAsia" w:ascii="宋体" w:hAnsi="宋体" w:eastAsia="宋体" w:cs="宋体"/>
          <w:i w:val="0"/>
          <w:strike w:val="0"/>
          <w:color w:val="000000"/>
          <w:sz w:val="24"/>
          <w:szCs w:val="28"/>
          <w:u w:val="none"/>
          <w:lang w:val="en-US" w:eastAsia="zh-CN"/>
        </w:rPr>
        <w:t>供货类别填写“直管单位非生产招标”-“工艺设备”</w:t>
      </w:r>
    </w:p>
    <w:p>
      <w:pPr>
        <w:snapToGrid/>
        <w:spacing w:before="0" w:after="0" w:line="240" w:lineRule="auto"/>
        <w:ind w:left="0" w:right="0" w:firstLine="0"/>
        <w:jc w:val="both"/>
      </w:pPr>
    </w:p>
    <w:p>
      <w:pPr>
        <w:pStyle w:val="18"/>
        <w:rPr>
          <w:rFonts w:hint="eastAsia" w:eastAsiaTheme="minorEastAsia"/>
          <w:lang w:eastAsia="zh-CN"/>
        </w:rPr>
      </w:pPr>
      <w:r>
        <w:rPr>
          <w:rFonts w:hint="eastAsia" w:eastAsiaTheme="minorEastAsia"/>
          <w:lang w:eastAsia="zh-CN"/>
        </w:rPr>
        <w:drawing>
          <wp:inline distT="0" distB="0" distL="114300" distR="114300">
            <wp:extent cx="5747385" cy="1463040"/>
            <wp:effectExtent l="0" t="0" r="5715" b="3810"/>
            <wp:docPr id="32" name="图片 32" descr="企业微信截图_1742373801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企业微信截图_17423738019981"/>
                    <pic:cNvPicPr>
                      <a:picLocks noChangeAspect="1"/>
                    </pic:cNvPicPr>
                  </pic:nvPicPr>
                  <pic:blipFill>
                    <a:blip r:embed="rId46"/>
                    <a:stretch>
                      <a:fillRect/>
                    </a:stretch>
                  </pic:blipFill>
                  <pic:spPr>
                    <a:xfrm>
                      <a:off x="0" y="0"/>
                      <a:ext cx="5747385" cy="1463040"/>
                    </a:xfrm>
                    <a:prstGeom prst="rect">
                      <a:avLst/>
                    </a:prstGeom>
                  </pic:spPr>
                </pic:pic>
              </a:graphicData>
            </a:graphic>
          </wp:inline>
        </w:drawing>
      </w:r>
    </w:p>
    <w:p>
      <w:pPr>
        <w:pStyle w:val="18"/>
      </w:pPr>
    </w:p>
    <w:p>
      <w:pPr>
        <w:pStyle w:val="18"/>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br w:type="page"/>
      </w: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5"/>
          <w:rFonts w:hint="eastAsia" w:ascii="宋体" w:hAnsi="宋体" w:eastAsia="宋体" w:cs="宋体"/>
          <w:sz w:val="24"/>
          <w:szCs w:val="24"/>
        </w:rPr>
        <w:fldChar w:fldCharType="begin"/>
      </w:r>
      <w:r>
        <w:rPr>
          <w:rStyle w:val="45"/>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5"/>
          <w:rFonts w:hint="eastAsia" w:ascii="宋体" w:hAnsi="宋体" w:eastAsia="宋体" w:cs="宋体"/>
          <w:sz w:val="24"/>
          <w:szCs w:val="24"/>
        </w:rPr>
        <w:fldChar w:fldCharType="separate"/>
      </w:r>
      <w:r>
        <w:rPr>
          <w:rStyle w:val="45"/>
          <w:rFonts w:hint="eastAsia" w:ascii="宋体" w:hAnsi="宋体" w:eastAsia="宋体" w:cs="宋体"/>
          <w:sz w:val="24"/>
          <w:szCs w:val="24"/>
        </w:rPr>
        <w:t>http</w:t>
      </w:r>
      <w:r>
        <w:rPr>
          <w:rStyle w:val="45"/>
          <w:rFonts w:hint="eastAsia" w:ascii="宋体" w:hAnsi="宋体" w:eastAsia="宋体" w:cs="宋体"/>
          <w:sz w:val="24"/>
          <w:szCs w:val="24"/>
          <w:lang w:val="en-US" w:eastAsia="zh-CN"/>
        </w:rPr>
        <w:t>s</w:t>
      </w:r>
      <w:r>
        <w:rPr>
          <w:rStyle w:val="45"/>
          <w:rFonts w:hint="eastAsia" w:ascii="宋体" w:hAnsi="宋体" w:eastAsia="宋体" w:cs="宋体"/>
          <w:sz w:val="24"/>
          <w:szCs w:val="24"/>
        </w:rPr>
        <w:t>://ecaitong.sinotruk.com:8012/</w:t>
      </w:r>
      <w:r>
        <w:rPr>
          <w:rStyle w:val="45"/>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8"/>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pPr>
        <w:pStyle w:val="18"/>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p>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p>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9F03E"/>
    <w:multiLevelType w:val="singleLevel"/>
    <w:tmpl w:val="81C9F03E"/>
    <w:lvl w:ilvl="0" w:tentative="0">
      <w:start w:val="1"/>
      <w:numFmt w:val="decimal"/>
      <w:suff w:val="nothing"/>
      <w:lvlText w:val="（%1）"/>
      <w:lvlJc w:val="left"/>
      <w:pPr>
        <w:ind w:left="470"/>
      </w:pPr>
    </w:lvl>
  </w:abstractNum>
  <w:abstractNum w:abstractNumId="1">
    <w:nsid w:val="8612BCEB"/>
    <w:multiLevelType w:val="singleLevel"/>
    <w:tmpl w:val="8612BCEB"/>
    <w:lvl w:ilvl="0" w:tentative="0">
      <w:start w:val="2"/>
      <w:numFmt w:val="decimal"/>
      <w:lvlText w:val="%1."/>
      <w:lvlJc w:val="left"/>
      <w:pPr>
        <w:tabs>
          <w:tab w:val="left" w:pos="312"/>
        </w:tabs>
      </w:pPr>
    </w:lvl>
  </w:abstractNum>
  <w:abstractNum w:abstractNumId="2">
    <w:nsid w:val="8F500B79"/>
    <w:multiLevelType w:val="singleLevel"/>
    <w:tmpl w:val="8F500B79"/>
    <w:lvl w:ilvl="0" w:tentative="0">
      <w:start w:val="1"/>
      <w:numFmt w:val="decimal"/>
      <w:suff w:val="nothing"/>
      <w:lvlText w:val="（%1）"/>
      <w:lvlJc w:val="left"/>
      <w:pPr>
        <w:ind w:left="470"/>
      </w:pPr>
    </w:lvl>
  </w:abstractNum>
  <w:abstractNum w:abstractNumId="3">
    <w:nsid w:val="9687E199"/>
    <w:multiLevelType w:val="singleLevel"/>
    <w:tmpl w:val="9687E199"/>
    <w:lvl w:ilvl="0" w:tentative="0">
      <w:start w:val="1"/>
      <w:numFmt w:val="decimal"/>
      <w:suff w:val="nothing"/>
      <w:lvlText w:val="（%1）"/>
      <w:lvlJc w:val="left"/>
    </w:lvl>
  </w:abstractNum>
  <w:abstractNum w:abstractNumId="4">
    <w:nsid w:val="973B5C8D"/>
    <w:multiLevelType w:val="singleLevel"/>
    <w:tmpl w:val="973B5C8D"/>
    <w:lvl w:ilvl="0" w:tentative="0">
      <w:start w:val="1"/>
      <w:numFmt w:val="decimal"/>
      <w:suff w:val="nothing"/>
      <w:lvlText w:val="（%1）"/>
      <w:lvlJc w:val="left"/>
      <w:pPr>
        <w:ind w:left="470"/>
      </w:pPr>
    </w:lvl>
  </w:abstractNum>
  <w:abstractNum w:abstractNumId="5">
    <w:nsid w:val="A6849FB6"/>
    <w:multiLevelType w:val="singleLevel"/>
    <w:tmpl w:val="A6849FB6"/>
    <w:lvl w:ilvl="0" w:tentative="0">
      <w:start w:val="2"/>
      <w:numFmt w:val="chineseCounting"/>
      <w:suff w:val="nothing"/>
      <w:lvlText w:val="%1、"/>
      <w:lvlJc w:val="left"/>
      <w:rPr>
        <w:rFonts w:hint="eastAsia"/>
      </w:rPr>
    </w:lvl>
  </w:abstractNum>
  <w:abstractNum w:abstractNumId="6">
    <w:nsid w:val="A79A06A8"/>
    <w:multiLevelType w:val="singleLevel"/>
    <w:tmpl w:val="A79A06A8"/>
    <w:lvl w:ilvl="0" w:tentative="0">
      <w:start w:val="1"/>
      <w:numFmt w:val="decimal"/>
      <w:suff w:val="nothing"/>
      <w:lvlText w:val="（%1）"/>
      <w:lvlJc w:val="left"/>
    </w:lvl>
  </w:abstractNum>
  <w:abstractNum w:abstractNumId="7">
    <w:nsid w:val="AB03F3B0"/>
    <w:multiLevelType w:val="singleLevel"/>
    <w:tmpl w:val="AB03F3B0"/>
    <w:lvl w:ilvl="0" w:tentative="0">
      <w:start w:val="1"/>
      <w:numFmt w:val="decimal"/>
      <w:suff w:val="nothing"/>
      <w:lvlText w:val="（%1）"/>
      <w:lvlJc w:val="left"/>
    </w:lvl>
  </w:abstractNum>
  <w:abstractNum w:abstractNumId="8">
    <w:nsid w:val="ADC8AB79"/>
    <w:multiLevelType w:val="singleLevel"/>
    <w:tmpl w:val="ADC8AB79"/>
    <w:lvl w:ilvl="0" w:tentative="0">
      <w:start w:val="1"/>
      <w:numFmt w:val="decimal"/>
      <w:suff w:val="nothing"/>
      <w:lvlText w:val="（%1）"/>
      <w:lvlJc w:val="left"/>
      <w:pPr>
        <w:ind w:left="-480"/>
      </w:pPr>
    </w:lvl>
  </w:abstractNum>
  <w:abstractNum w:abstractNumId="9">
    <w:nsid w:val="B316E3AB"/>
    <w:multiLevelType w:val="singleLevel"/>
    <w:tmpl w:val="B316E3AB"/>
    <w:lvl w:ilvl="0" w:tentative="0">
      <w:start w:val="1"/>
      <w:numFmt w:val="decimal"/>
      <w:suff w:val="nothing"/>
      <w:lvlText w:val="（%1）"/>
      <w:lvlJc w:val="left"/>
    </w:lvl>
  </w:abstractNum>
  <w:abstractNum w:abstractNumId="10">
    <w:nsid w:val="B51D874D"/>
    <w:multiLevelType w:val="singleLevel"/>
    <w:tmpl w:val="B51D874D"/>
    <w:lvl w:ilvl="0" w:tentative="0">
      <w:start w:val="3"/>
      <w:numFmt w:val="chineseCounting"/>
      <w:suff w:val="nothing"/>
      <w:lvlText w:val="%1、"/>
      <w:lvlJc w:val="left"/>
      <w:rPr>
        <w:rFonts w:hint="eastAsia"/>
      </w:rPr>
    </w:lvl>
  </w:abstractNum>
  <w:abstractNum w:abstractNumId="11">
    <w:nsid w:val="B6A5F174"/>
    <w:multiLevelType w:val="singleLevel"/>
    <w:tmpl w:val="B6A5F174"/>
    <w:lvl w:ilvl="0" w:tentative="0">
      <w:start w:val="1"/>
      <w:numFmt w:val="decimal"/>
      <w:suff w:val="nothing"/>
      <w:lvlText w:val="（%1）"/>
      <w:lvlJc w:val="left"/>
      <w:pPr>
        <w:ind w:left="280"/>
      </w:pPr>
    </w:lvl>
  </w:abstractNum>
  <w:abstractNum w:abstractNumId="12">
    <w:nsid w:val="C27A6BB6"/>
    <w:multiLevelType w:val="singleLevel"/>
    <w:tmpl w:val="C27A6BB6"/>
    <w:lvl w:ilvl="0" w:tentative="0">
      <w:start w:val="1"/>
      <w:numFmt w:val="decimal"/>
      <w:suff w:val="nothing"/>
      <w:lvlText w:val="（%1）"/>
      <w:lvlJc w:val="left"/>
    </w:lvl>
  </w:abstractNum>
  <w:abstractNum w:abstractNumId="13">
    <w:nsid w:val="C898C2AD"/>
    <w:multiLevelType w:val="singleLevel"/>
    <w:tmpl w:val="C898C2AD"/>
    <w:lvl w:ilvl="0" w:tentative="0">
      <w:start w:val="1"/>
      <w:numFmt w:val="decimal"/>
      <w:suff w:val="nothing"/>
      <w:lvlText w:val="（%1）"/>
      <w:lvlJc w:val="left"/>
    </w:lvl>
  </w:abstractNum>
  <w:abstractNum w:abstractNumId="14">
    <w:nsid w:val="C92A89AA"/>
    <w:multiLevelType w:val="singleLevel"/>
    <w:tmpl w:val="C92A89AA"/>
    <w:lvl w:ilvl="0" w:tentative="0">
      <w:start w:val="1"/>
      <w:numFmt w:val="decimal"/>
      <w:suff w:val="nothing"/>
      <w:lvlText w:val="（%1）"/>
      <w:lvlJc w:val="left"/>
    </w:lvl>
  </w:abstractNum>
  <w:abstractNum w:abstractNumId="15">
    <w:nsid w:val="D7F28103"/>
    <w:multiLevelType w:val="singleLevel"/>
    <w:tmpl w:val="D7F28103"/>
    <w:lvl w:ilvl="0" w:tentative="0">
      <w:start w:val="1"/>
      <w:numFmt w:val="decimal"/>
      <w:suff w:val="nothing"/>
      <w:lvlText w:val="（%1）"/>
      <w:lvlJc w:val="left"/>
    </w:lvl>
  </w:abstractNum>
  <w:abstractNum w:abstractNumId="16">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7">
    <w:nsid w:val="DBB20C53"/>
    <w:multiLevelType w:val="singleLevel"/>
    <w:tmpl w:val="DBB20C53"/>
    <w:lvl w:ilvl="0" w:tentative="0">
      <w:start w:val="1"/>
      <w:numFmt w:val="decimal"/>
      <w:suff w:val="nothing"/>
      <w:lvlText w:val="（%1）"/>
      <w:lvlJc w:val="left"/>
    </w:lvl>
  </w:abstractNum>
  <w:abstractNum w:abstractNumId="18">
    <w:nsid w:val="EF3E999E"/>
    <w:multiLevelType w:val="singleLevel"/>
    <w:tmpl w:val="EF3E999E"/>
    <w:lvl w:ilvl="0" w:tentative="0">
      <w:start w:val="1"/>
      <w:numFmt w:val="decimal"/>
      <w:suff w:val="nothing"/>
      <w:lvlText w:val="（%1）"/>
      <w:lvlJc w:val="left"/>
      <w:pPr>
        <w:ind w:left="-100"/>
      </w:pPr>
    </w:lvl>
  </w:abstractNum>
  <w:abstractNum w:abstractNumId="19">
    <w:nsid w:val="EFE71C0B"/>
    <w:multiLevelType w:val="singleLevel"/>
    <w:tmpl w:val="EFE71C0B"/>
    <w:lvl w:ilvl="0" w:tentative="0">
      <w:start w:val="1"/>
      <w:numFmt w:val="decimal"/>
      <w:suff w:val="nothing"/>
      <w:lvlText w:val="（%1）"/>
      <w:lvlJc w:val="left"/>
      <w:pPr>
        <w:ind w:left="470"/>
      </w:pPr>
    </w:lvl>
  </w:abstractNum>
  <w:abstractNum w:abstractNumId="20">
    <w:nsid w:val="F0A06E59"/>
    <w:multiLevelType w:val="singleLevel"/>
    <w:tmpl w:val="F0A06E59"/>
    <w:lvl w:ilvl="0" w:tentative="0">
      <w:start w:val="4"/>
      <w:numFmt w:val="chineseCounting"/>
      <w:suff w:val="nothing"/>
      <w:lvlText w:val="%1、"/>
      <w:lvlJc w:val="left"/>
      <w:rPr>
        <w:rFonts w:hint="eastAsia"/>
      </w:rPr>
    </w:lvl>
  </w:abstractNum>
  <w:abstractNum w:abstractNumId="21">
    <w:nsid w:val="F27FAB29"/>
    <w:multiLevelType w:val="singleLevel"/>
    <w:tmpl w:val="F27FAB29"/>
    <w:lvl w:ilvl="0" w:tentative="0">
      <w:start w:val="4"/>
      <w:numFmt w:val="chineseCounting"/>
      <w:suff w:val="nothing"/>
      <w:lvlText w:val="%1、"/>
      <w:lvlJc w:val="left"/>
      <w:rPr>
        <w:rFonts w:hint="eastAsia"/>
      </w:rPr>
    </w:lvl>
  </w:abstractNum>
  <w:abstractNum w:abstractNumId="22">
    <w:nsid w:val="FC52A02D"/>
    <w:multiLevelType w:val="singleLevel"/>
    <w:tmpl w:val="FC52A02D"/>
    <w:lvl w:ilvl="0" w:tentative="0">
      <w:start w:val="1"/>
      <w:numFmt w:val="decimal"/>
      <w:suff w:val="nothing"/>
      <w:lvlText w:val="（%1）"/>
      <w:lvlJc w:val="left"/>
    </w:lvl>
  </w:abstractNum>
  <w:abstractNum w:abstractNumId="23">
    <w:nsid w:val="FCD2E2C1"/>
    <w:multiLevelType w:val="singleLevel"/>
    <w:tmpl w:val="FCD2E2C1"/>
    <w:lvl w:ilvl="0" w:tentative="0">
      <w:start w:val="1"/>
      <w:numFmt w:val="decimal"/>
      <w:suff w:val="nothing"/>
      <w:lvlText w:val="（%1）"/>
      <w:lvlJc w:val="left"/>
    </w:lvl>
  </w:abstractNum>
  <w:abstractNum w:abstractNumId="2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5">
    <w:nsid w:val="0A040430"/>
    <w:multiLevelType w:val="singleLevel"/>
    <w:tmpl w:val="0A040430"/>
    <w:lvl w:ilvl="0" w:tentative="0">
      <w:start w:val="1"/>
      <w:numFmt w:val="decimal"/>
      <w:suff w:val="nothing"/>
      <w:lvlText w:val="（%1）"/>
      <w:lvlJc w:val="left"/>
    </w:lvl>
  </w:abstractNum>
  <w:abstractNum w:abstractNumId="26">
    <w:nsid w:val="0D7CF5F0"/>
    <w:multiLevelType w:val="singleLevel"/>
    <w:tmpl w:val="0D7CF5F0"/>
    <w:lvl w:ilvl="0" w:tentative="0">
      <w:start w:val="1"/>
      <w:numFmt w:val="decimal"/>
      <w:suff w:val="nothing"/>
      <w:lvlText w:val="（%1）"/>
      <w:lvlJc w:val="left"/>
      <w:pPr>
        <w:ind w:left="470"/>
      </w:pPr>
    </w:lvl>
  </w:abstractNum>
  <w:abstractNum w:abstractNumId="27">
    <w:nsid w:val="1B3C64B6"/>
    <w:multiLevelType w:val="singleLevel"/>
    <w:tmpl w:val="1B3C64B6"/>
    <w:lvl w:ilvl="0" w:tentative="0">
      <w:start w:val="1"/>
      <w:numFmt w:val="decimal"/>
      <w:suff w:val="nothing"/>
      <w:lvlText w:val="（%1）"/>
      <w:lvlJc w:val="left"/>
    </w:lvl>
  </w:abstractNum>
  <w:abstractNum w:abstractNumId="28">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2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30">
    <w:nsid w:val="2860A2DD"/>
    <w:multiLevelType w:val="singleLevel"/>
    <w:tmpl w:val="2860A2DD"/>
    <w:lvl w:ilvl="0" w:tentative="0">
      <w:start w:val="1"/>
      <w:numFmt w:val="decimal"/>
      <w:suff w:val="nothing"/>
      <w:lvlText w:val="（%1）"/>
      <w:lvlJc w:val="left"/>
    </w:lvl>
  </w:abstractNum>
  <w:abstractNum w:abstractNumId="31">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32">
    <w:nsid w:val="32AB3F56"/>
    <w:multiLevelType w:val="singleLevel"/>
    <w:tmpl w:val="32AB3F56"/>
    <w:lvl w:ilvl="0" w:tentative="0">
      <w:start w:val="1"/>
      <w:numFmt w:val="decimal"/>
      <w:suff w:val="nothing"/>
      <w:lvlText w:val="（%1）"/>
      <w:lvlJc w:val="left"/>
    </w:lvl>
  </w:abstractNum>
  <w:abstractNum w:abstractNumId="33">
    <w:nsid w:val="347D39BC"/>
    <w:multiLevelType w:val="singleLevel"/>
    <w:tmpl w:val="347D39BC"/>
    <w:lvl w:ilvl="0" w:tentative="0">
      <w:start w:val="1"/>
      <w:numFmt w:val="decimal"/>
      <w:suff w:val="nothing"/>
      <w:lvlText w:val="（%1）"/>
      <w:lvlJc w:val="left"/>
    </w:lvl>
  </w:abstractNum>
  <w:abstractNum w:abstractNumId="34">
    <w:nsid w:val="353D83C5"/>
    <w:multiLevelType w:val="singleLevel"/>
    <w:tmpl w:val="353D83C5"/>
    <w:lvl w:ilvl="0" w:tentative="0">
      <w:start w:val="1"/>
      <w:numFmt w:val="decimal"/>
      <w:suff w:val="nothing"/>
      <w:lvlText w:val="（%1）"/>
      <w:lvlJc w:val="left"/>
    </w:lvl>
  </w:abstractNum>
  <w:abstractNum w:abstractNumId="35">
    <w:nsid w:val="3606AC2D"/>
    <w:multiLevelType w:val="singleLevel"/>
    <w:tmpl w:val="3606AC2D"/>
    <w:lvl w:ilvl="0" w:tentative="0">
      <w:start w:val="1"/>
      <w:numFmt w:val="decimal"/>
      <w:suff w:val="nothing"/>
      <w:lvlText w:val="（%1）"/>
      <w:lvlJc w:val="left"/>
    </w:lvl>
  </w:abstractNum>
  <w:abstractNum w:abstractNumId="36">
    <w:nsid w:val="3BBE84A5"/>
    <w:multiLevelType w:val="singleLevel"/>
    <w:tmpl w:val="3BBE84A5"/>
    <w:lvl w:ilvl="0" w:tentative="0">
      <w:start w:val="1"/>
      <w:numFmt w:val="decimal"/>
      <w:suff w:val="nothing"/>
      <w:lvlText w:val="（%1）"/>
      <w:lvlJc w:val="left"/>
    </w:lvl>
  </w:abstractNum>
  <w:abstractNum w:abstractNumId="3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38">
    <w:nsid w:val="698B0341"/>
    <w:multiLevelType w:val="singleLevel"/>
    <w:tmpl w:val="698B0341"/>
    <w:lvl w:ilvl="0" w:tentative="0">
      <w:start w:val="1"/>
      <w:numFmt w:val="decimal"/>
      <w:suff w:val="nothing"/>
      <w:lvlText w:val="（%1）"/>
      <w:lvlJc w:val="left"/>
    </w:lvl>
  </w:abstractNum>
  <w:abstractNum w:abstractNumId="39">
    <w:nsid w:val="6E8C6948"/>
    <w:multiLevelType w:val="singleLevel"/>
    <w:tmpl w:val="6E8C6948"/>
    <w:lvl w:ilvl="0" w:tentative="0">
      <w:start w:val="1"/>
      <w:numFmt w:val="chineseCounting"/>
      <w:suff w:val="space"/>
      <w:lvlText w:val="第%1部分"/>
      <w:lvlJc w:val="left"/>
      <w:rPr>
        <w:rFonts w:hint="eastAsia"/>
      </w:rPr>
    </w:lvl>
  </w:abstractNum>
  <w:abstractNum w:abstractNumId="40">
    <w:nsid w:val="7013A86B"/>
    <w:multiLevelType w:val="singleLevel"/>
    <w:tmpl w:val="7013A86B"/>
    <w:lvl w:ilvl="0" w:tentative="0">
      <w:start w:val="1"/>
      <w:numFmt w:val="decimal"/>
      <w:suff w:val="nothing"/>
      <w:lvlText w:val="（%1）"/>
      <w:lvlJc w:val="left"/>
    </w:lvl>
  </w:abstractNum>
  <w:abstractNum w:abstractNumId="41">
    <w:nsid w:val="77DE7897"/>
    <w:multiLevelType w:val="singleLevel"/>
    <w:tmpl w:val="77DE7897"/>
    <w:lvl w:ilvl="0" w:tentative="0">
      <w:start w:val="1"/>
      <w:numFmt w:val="decimal"/>
      <w:lvlText w:val="%1."/>
      <w:lvlJc w:val="left"/>
      <w:pPr>
        <w:tabs>
          <w:tab w:val="left" w:pos="312"/>
        </w:tabs>
      </w:pPr>
    </w:lvl>
  </w:abstractNum>
  <w:abstractNum w:abstractNumId="42">
    <w:nsid w:val="7A612DE2"/>
    <w:multiLevelType w:val="singleLevel"/>
    <w:tmpl w:val="7A612DE2"/>
    <w:lvl w:ilvl="0" w:tentative="0">
      <w:start w:val="2"/>
      <w:numFmt w:val="decimal"/>
      <w:lvlText w:val="%1."/>
      <w:lvlJc w:val="left"/>
      <w:pPr>
        <w:tabs>
          <w:tab w:val="left" w:pos="312"/>
        </w:tabs>
      </w:pPr>
    </w:lvl>
  </w:abstractNum>
  <w:abstractNum w:abstractNumId="43">
    <w:nsid w:val="7ECB0F16"/>
    <w:multiLevelType w:val="singleLevel"/>
    <w:tmpl w:val="7ECB0F16"/>
    <w:lvl w:ilvl="0" w:tentative="0">
      <w:start w:val="1"/>
      <w:numFmt w:val="decimal"/>
      <w:suff w:val="nothing"/>
      <w:lvlText w:val="（%1）"/>
      <w:lvlJc w:val="left"/>
    </w:lvl>
  </w:abstractNum>
  <w:num w:numId="1">
    <w:abstractNumId w:val="39"/>
  </w:num>
  <w:num w:numId="2">
    <w:abstractNumId w:val="41"/>
  </w:num>
  <w:num w:numId="3">
    <w:abstractNumId w:val="5"/>
  </w:num>
  <w:num w:numId="4">
    <w:abstractNumId w:val="42"/>
  </w:num>
  <w:num w:numId="5">
    <w:abstractNumId w:val="29"/>
  </w:num>
  <w:num w:numId="6">
    <w:abstractNumId w:val="24"/>
  </w:num>
  <w:num w:numId="7">
    <w:abstractNumId w:val="37"/>
  </w:num>
  <w:num w:numId="8">
    <w:abstractNumId w:val="16"/>
  </w:num>
  <w:num w:numId="9">
    <w:abstractNumId w:val="31"/>
  </w:num>
  <w:num w:numId="10">
    <w:abstractNumId w:val="28"/>
  </w:num>
  <w:num w:numId="11">
    <w:abstractNumId w:val="20"/>
  </w:num>
  <w:num w:numId="12">
    <w:abstractNumId w:val="1"/>
  </w:num>
  <w:num w:numId="13">
    <w:abstractNumId w:val="12"/>
  </w:num>
  <w:num w:numId="14">
    <w:abstractNumId w:val="17"/>
  </w:num>
  <w:num w:numId="15">
    <w:abstractNumId w:val="23"/>
  </w:num>
  <w:num w:numId="16">
    <w:abstractNumId w:val="35"/>
  </w:num>
  <w:num w:numId="17">
    <w:abstractNumId w:val="33"/>
  </w:num>
  <w:num w:numId="18">
    <w:abstractNumId w:val="18"/>
  </w:num>
  <w:num w:numId="19">
    <w:abstractNumId w:val="15"/>
  </w:num>
  <w:num w:numId="20">
    <w:abstractNumId w:val="38"/>
  </w:num>
  <w:num w:numId="21">
    <w:abstractNumId w:val="7"/>
  </w:num>
  <w:num w:numId="22">
    <w:abstractNumId w:val="43"/>
  </w:num>
  <w:num w:numId="23">
    <w:abstractNumId w:val="21"/>
  </w:num>
  <w:num w:numId="24">
    <w:abstractNumId w:val="30"/>
  </w:num>
  <w:num w:numId="25">
    <w:abstractNumId w:val="9"/>
  </w:num>
  <w:num w:numId="26">
    <w:abstractNumId w:val="34"/>
  </w:num>
  <w:num w:numId="27">
    <w:abstractNumId w:val="36"/>
  </w:num>
  <w:num w:numId="28">
    <w:abstractNumId w:val="32"/>
  </w:num>
  <w:num w:numId="29">
    <w:abstractNumId w:val="25"/>
  </w:num>
  <w:num w:numId="30">
    <w:abstractNumId w:val="27"/>
  </w:num>
  <w:num w:numId="31">
    <w:abstractNumId w:val="10"/>
  </w:num>
  <w:num w:numId="32">
    <w:abstractNumId w:val="8"/>
  </w:num>
  <w:num w:numId="33">
    <w:abstractNumId w:val="14"/>
  </w:num>
  <w:num w:numId="34">
    <w:abstractNumId w:val="40"/>
  </w:num>
  <w:num w:numId="35">
    <w:abstractNumId w:val="3"/>
  </w:num>
  <w:num w:numId="36">
    <w:abstractNumId w:val="6"/>
  </w:num>
  <w:num w:numId="37">
    <w:abstractNumId w:val="13"/>
  </w:num>
  <w:num w:numId="38">
    <w:abstractNumId w:val="22"/>
  </w:num>
  <w:num w:numId="39">
    <w:abstractNumId w:val="11"/>
  </w:num>
  <w:num w:numId="40">
    <w:abstractNumId w:val="19"/>
  </w:num>
  <w:num w:numId="41">
    <w:abstractNumId w:val="4"/>
  </w:num>
  <w:num w:numId="42">
    <w:abstractNumId w:val="2"/>
  </w:num>
  <w:num w:numId="43">
    <w:abstractNumId w:val="0"/>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1310C"/>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DF4A6D"/>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C8280D"/>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DE232A"/>
    <w:rsid w:val="12E60579"/>
    <w:rsid w:val="12EB0F02"/>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4E7892"/>
    <w:rsid w:val="16666C4E"/>
    <w:rsid w:val="168756A0"/>
    <w:rsid w:val="16F94849"/>
    <w:rsid w:val="17045E51"/>
    <w:rsid w:val="170E132A"/>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C14C27"/>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373B7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34301C"/>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187CC4"/>
    <w:rsid w:val="35216C38"/>
    <w:rsid w:val="35486AF7"/>
    <w:rsid w:val="359009FB"/>
    <w:rsid w:val="35D354B8"/>
    <w:rsid w:val="35D4025C"/>
    <w:rsid w:val="36063A32"/>
    <w:rsid w:val="362666BC"/>
    <w:rsid w:val="36445A95"/>
    <w:rsid w:val="368A6B11"/>
    <w:rsid w:val="36A238B1"/>
    <w:rsid w:val="37085B1F"/>
    <w:rsid w:val="37103EE5"/>
    <w:rsid w:val="372E04CB"/>
    <w:rsid w:val="37317C9C"/>
    <w:rsid w:val="38851F64"/>
    <w:rsid w:val="38E070F2"/>
    <w:rsid w:val="390D33AB"/>
    <w:rsid w:val="391E6D06"/>
    <w:rsid w:val="39DC5BB6"/>
    <w:rsid w:val="39F1031B"/>
    <w:rsid w:val="3A074847"/>
    <w:rsid w:val="3A3C6CE4"/>
    <w:rsid w:val="3A830B2E"/>
    <w:rsid w:val="3AA90FE6"/>
    <w:rsid w:val="3AA9318F"/>
    <w:rsid w:val="3AB62DA0"/>
    <w:rsid w:val="3AD04447"/>
    <w:rsid w:val="3AEA41B5"/>
    <w:rsid w:val="3B414BC4"/>
    <w:rsid w:val="3B69577B"/>
    <w:rsid w:val="3B702D85"/>
    <w:rsid w:val="3B7905A1"/>
    <w:rsid w:val="3B7D3FD5"/>
    <w:rsid w:val="3B823DDF"/>
    <w:rsid w:val="3BD827B4"/>
    <w:rsid w:val="3C237ED3"/>
    <w:rsid w:val="3C2F72A6"/>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A511EA"/>
    <w:rsid w:val="52CF07CC"/>
    <w:rsid w:val="52EF4CB5"/>
    <w:rsid w:val="52F959F0"/>
    <w:rsid w:val="5302488E"/>
    <w:rsid w:val="530323B4"/>
    <w:rsid w:val="53136173"/>
    <w:rsid w:val="534B12B7"/>
    <w:rsid w:val="539A4AC7"/>
    <w:rsid w:val="53F86552"/>
    <w:rsid w:val="542631B6"/>
    <w:rsid w:val="542B7CA6"/>
    <w:rsid w:val="5447483C"/>
    <w:rsid w:val="544D14DF"/>
    <w:rsid w:val="547748A2"/>
    <w:rsid w:val="54942CAE"/>
    <w:rsid w:val="5499280E"/>
    <w:rsid w:val="54A61722"/>
    <w:rsid w:val="54B31FAF"/>
    <w:rsid w:val="54DC2048"/>
    <w:rsid w:val="550C502E"/>
    <w:rsid w:val="55224E1C"/>
    <w:rsid w:val="55326D63"/>
    <w:rsid w:val="555D1A10"/>
    <w:rsid w:val="55963292"/>
    <w:rsid w:val="55B72CB0"/>
    <w:rsid w:val="55C300FC"/>
    <w:rsid w:val="55E8347F"/>
    <w:rsid w:val="55E90F00"/>
    <w:rsid w:val="5686551D"/>
    <w:rsid w:val="56AC4A78"/>
    <w:rsid w:val="56B55151"/>
    <w:rsid w:val="56DB16B9"/>
    <w:rsid w:val="57435CBA"/>
    <w:rsid w:val="577A3463"/>
    <w:rsid w:val="57B07B04"/>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C06FDA"/>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AA007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178B1"/>
    <w:rsid w:val="65D5369F"/>
    <w:rsid w:val="65D97752"/>
    <w:rsid w:val="65E25E59"/>
    <w:rsid w:val="66174109"/>
    <w:rsid w:val="6617798C"/>
    <w:rsid w:val="66307F76"/>
    <w:rsid w:val="66580EAF"/>
    <w:rsid w:val="66694D0D"/>
    <w:rsid w:val="667B4472"/>
    <w:rsid w:val="66F041A8"/>
    <w:rsid w:val="66FC0BE4"/>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E53EA4"/>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7"/>
    <w:qFormat/>
    <w:uiPriority w:val="9"/>
    <w:pPr>
      <w:keepNext/>
      <w:keepLines/>
      <w:jc w:val="center"/>
      <w:outlineLvl w:val="0"/>
    </w:pPr>
    <w:rPr>
      <w:b/>
      <w:bCs/>
      <w:kern w:val="44"/>
      <w:sz w:val="36"/>
      <w:szCs w:val="44"/>
    </w:rPr>
  </w:style>
  <w:style w:type="paragraph" w:styleId="4">
    <w:name w:val="heading 2"/>
    <w:basedOn w:val="1"/>
    <w:next w:val="1"/>
    <w:link w:val="145"/>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2" w:lineRule="auto"/>
      <w:outlineLvl w:val="4"/>
    </w:pPr>
    <w:rPr>
      <w:b/>
      <w:sz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99"/>
    <w:pPr>
      <w:widowControl/>
      <w:ind w:left="1134"/>
      <w:jc w:val="left"/>
    </w:pPr>
    <w:rPr>
      <w:rFonts w:ascii="Arial" w:hAnsi="Arial"/>
      <w:kern w:val="0"/>
      <w:szCs w:val="20"/>
      <w:lang w:val="de-DE" w:eastAsia="de-DE"/>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0"/>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1"/>
    <w:qFormat/>
    <w:uiPriority w:val="0"/>
    <w:pPr>
      <w:jc w:val="left"/>
    </w:pPr>
  </w:style>
  <w:style w:type="paragraph" w:styleId="13">
    <w:name w:val="Body Text"/>
    <w:basedOn w:val="1"/>
    <w:next w:val="14"/>
    <w:link w:val="82"/>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9"/>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toc 3"/>
    <w:basedOn w:val="1"/>
    <w:next w:val="1"/>
    <w:qFormat/>
    <w:uiPriority w:val="39"/>
    <w:pPr>
      <w:ind w:left="480"/>
      <w:jc w:val="left"/>
    </w:pPr>
    <w:rPr>
      <w:rFonts w:ascii="Calibri" w:hAnsi="Calibri" w:eastAsia="宋体" w:cs="Times New Roman"/>
      <w:i/>
      <w:iCs/>
      <w:sz w:val="20"/>
      <w:szCs w:val="20"/>
    </w:rPr>
  </w:style>
  <w:style w:type="paragraph" w:styleId="18">
    <w:name w:val="Plain Text"/>
    <w:basedOn w:val="1"/>
    <w:link w:val="72"/>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3"/>
    <w:qFormat/>
    <w:uiPriority w:val="0"/>
    <w:pPr>
      <w:ind w:left="100" w:leftChars="2500"/>
    </w:pPr>
    <w:rPr>
      <w:sz w:val="24"/>
    </w:rPr>
  </w:style>
  <w:style w:type="paragraph" w:styleId="21">
    <w:name w:val="Body Text Indent 2"/>
    <w:basedOn w:val="1"/>
    <w:link w:val="51"/>
    <w:qFormat/>
    <w:uiPriority w:val="0"/>
    <w:pPr>
      <w:spacing w:after="120" w:line="480" w:lineRule="auto"/>
      <w:ind w:left="420" w:leftChars="200"/>
    </w:pPr>
  </w:style>
  <w:style w:type="paragraph" w:styleId="22">
    <w:name w:val="Balloon Text"/>
    <w:basedOn w:val="1"/>
    <w:link w:val="67"/>
    <w:qFormat/>
    <w:uiPriority w:val="0"/>
    <w:rPr>
      <w:sz w:val="18"/>
    </w:rPr>
  </w:style>
  <w:style w:type="paragraph" w:styleId="23">
    <w:name w:val="footer"/>
    <w:basedOn w:val="1"/>
    <w:link w:val="73"/>
    <w:qFormat/>
    <w:uiPriority w:val="99"/>
    <w:pPr>
      <w:tabs>
        <w:tab w:val="center" w:pos="4153"/>
        <w:tab w:val="right" w:pos="8306"/>
      </w:tabs>
      <w:snapToGrid w:val="0"/>
      <w:jc w:val="left"/>
    </w:pPr>
    <w:rPr>
      <w:sz w:val="18"/>
    </w:rPr>
  </w:style>
  <w:style w:type="paragraph" w:styleId="24">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List"/>
    <w:basedOn w:val="1"/>
    <w:qFormat/>
    <w:uiPriority w:val="99"/>
    <w:pPr>
      <w:ind w:left="420" w:hanging="420"/>
    </w:pPr>
    <w:rPr>
      <w:rFonts w:ascii="Times New Roman" w:hAnsi="Times New Roman" w:eastAsia="宋体" w:cs="Times New Roman"/>
      <w:szCs w:val="20"/>
    </w:rPr>
  </w:style>
  <w:style w:type="paragraph" w:styleId="28">
    <w:name w:val="toc 6"/>
    <w:basedOn w:val="1"/>
    <w:next w:val="1"/>
    <w:qFormat/>
    <w:uiPriority w:val="39"/>
    <w:pPr>
      <w:ind w:left="1200"/>
      <w:jc w:val="left"/>
    </w:pPr>
    <w:rPr>
      <w:rFonts w:ascii="Calibri" w:hAnsi="Calibri" w:eastAsia="宋体" w:cs="Times New Roman"/>
      <w:sz w:val="18"/>
      <w:szCs w:val="18"/>
    </w:rPr>
  </w:style>
  <w:style w:type="paragraph" w:styleId="29">
    <w:name w:val="Body Text Indent 3"/>
    <w:basedOn w:val="1"/>
    <w:link w:val="53"/>
    <w:qFormat/>
    <w:uiPriority w:val="0"/>
    <w:pPr>
      <w:spacing w:after="120"/>
      <w:ind w:left="420" w:leftChars="200"/>
    </w:pPr>
    <w:rPr>
      <w:sz w:val="16"/>
    </w:rPr>
  </w:style>
  <w:style w:type="paragraph" w:styleId="30">
    <w:name w:val="toc 2"/>
    <w:basedOn w:val="1"/>
    <w:next w:val="1"/>
    <w:unhideWhenUsed/>
    <w:qFormat/>
    <w:uiPriority w:val="39"/>
    <w:pPr>
      <w:ind w:left="420" w:leftChars="200"/>
    </w:pPr>
    <w:rPr>
      <w:rFonts w:ascii="Calibri" w:hAnsi="Calibri" w:eastAsia="宋体" w:cs="Times New Roman"/>
      <w:szCs w:val="20"/>
    </w:rPr>
  </w:style>
  <w:style w:type="paragraph" w:styleId="31">
    <w:name w:val="toc 9"/>
    <w:basedOn w:val="1"/>
    <w:next w:val="1"/>
    <w:qFormat/>
    <w:uiPriority w:val="39"/>
    <w:pPr>
      <w:ind w:left="1920"/>
      <w:jc w:val="left"/>
    </w:pPr>
    <w:rPr>
      <w:rFonts w:ascii="Calibri" w:hAnsi="Calibri" w:eastAsia="宋体" w:cs="Times New Roman"/>
      <w:sz w:val="18"/>
      <w:szCs w:val="18"/>
    </w:rPr>
  </w:style>
  <w:style w:type="paragraph" w:styleId="32">
    <w:name w:val="Normal (Web)"/>
    <w:basedOn w:val="1"/>
    <w:qFormat/>
    <w:uiPriority w:val="99"/>
    <w:rPr>
      <w:rFonts w:ascii="Calibri" w:hAnsi="Calibri" w:eastAsia="宋体" w:cs="Times New Roman"/>
      <w:sz w:val="24"/>
      <w:szCs w:val="20"/>
    </w:rPr>
  </w:style>
  <w:style w:type="paragraph" w:styleId="33">
    <w:name w:val="index 1"/>
    <w:basedOn w:val="1"/>
    <w:next w:val="1"/>
    <w:qFormat/>
    <w:uiPriority w:val="99"/>
    <w:rPr>
      <w:rFonts w:ascii="Calibri" w:hAnsi="Calibri" w:eastAsia="宋体" w:cs="Times New Roman"/>
      <w:sz w:val="24"/>
      <w:szCs w:val="24"/>
    </w:rPr>
  </w:style>
  <w:style w:type="paragraph" w:styleId="34">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2"/>
    <w:next w:val="12"/>
    <w:link w:val="52"/>
    <w:qFormat/>
    <w:uiPriority w:val="0"/>
    <w:rPr>
      <w:b/>
    </w:rPr>
  </w:style>
  <w:style w:type="paragraph" w:styleId="36">
    <w:name w:val="Body Text First Indent 2"/>
    <w:basedOn w:val="14"/>
    <w:semiHidden/>
    <w:qFormat/>
    <w:uiPriority w:val="99"/>
    <w:pPr>
      <w:spacing w:line="276" w:lineRule="auto"/>
      <w:ind w:firstLine="420" w:firstLineChars="200"/>
      <w:jc w:val="left"/>
    </w:p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basedOn w:val="39"/>
    <w:qFormat/>
    <w:uiPriority w:val="99"/>
    <w:rPr>
      <w:rFonts w:cs="Times New Roman"/>
    </w:rPr>
  </w:style>
  <w:style w:type="character" w:styleId="42">
    <w:name w:val="FollowedHyperlink"/>
    <w:basedOn w:val="39"/>
    <w:qFormat/>
    <w:uiPriority w:val="99"/>
    <w:rPr>
      <w:color w:val="800080"/>
      <w:u w:val="single"/>
    </w:rPr>
  </w:style>
  <w:style w:type="character" w:styleId="43">
    <w:name w:val="Emphasis"/>
    <w:qFormat/>
    <w:uiPriority w:val="99"/>
    <w:rPr>
      <w:rFonts w:cs="Times New Roman"/>
      <w:color w:val="auto"/>
    </w:rPr>
  </w:style>
  <w:style w:type="character" w:styleId="44">
    <w:name w:val="HTML Acronym"/>
    <w:basedOn w:val="39"/>
    <w:qFormat/>
    <w:uiPriority w:val="99"/>
  </w:style>
  <w:style w:type="character" w:styleId="45">
    <w:name w:val="Hyperlink"/>
    <w:basedOn w:val="39"/>
    <w:qFormat/>
    <w:uiPriority w:val="99"/>
    <w:rPr>
      <w:color w:val="1F4F88"/>
      <w:u w:val="none"/>
    </w:rPr>
  </w:style>
  <w:style w:type="character" w:styleId="46">
    <w:name w:val="annotation reference"/>
    <w:basedOn w:val="39"/>
    <w:qFormat/>
    <w:uiPriority w:val="99"/>
    <w:rPr>
      <w:sz w:val="21"/>
    </w:rPr>
  </w:style>
  <w:style w:type="character" w:customStyle="1" w:styleId="47">
    <w:name w:val="标题 1 字符"/>
    <w:basedOn w:val="39"/>
    <w:link w:val="3"/>
    <w:qFormat/>
    <w:uiPriority w:val="9"/>
    <w:rPr>
      <w:rFonts w:ascii="Calibri" w:hAnsi="Calibri" w:eastAsia="宋体" w:cs="Times New Roman"/>
      <w:b/>
      <w:bCs/>
      <w:kern w:val="44"/>
      <w:sz w:val="36"/>
      <w:szCs w:val="44"/>
    </w:rPr>
  </w:style>
  <w:style w:type="character" w:customStyle="1" w:styleId="48">
    <w:name w:val="标题 2 字符"/>
    <w:basedOn w:val="39"/>
    <w:link w:val="4"/>
    <w:qFormat/>
    <w:uiPriority w:val="9"/>
    <w:rPr>
      <w:rFonts w:ascii="Arial" w:hAnsi="Arial" w:eastAsia="宋体" w:cs="Times New Roman"/>
      <w:b/>
      <w:bCs/>
      <w:sz w:val="24"/>
      <w:szCs w:val="32"/>
    </w:rPr>
  </w:style>
  <w:style w:type="character" w:customStyle="1" w:styleId="49">
    <w:name w:val="标题 3 字符"/>
    <w:basedOn w:val="39"/>
    <w:link w:val="5"/>
    <w:semiHidden/>
    <w:qFormat/>
    <w:uiPriority w:val="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字符"/>
    <w:link w:val="21"/>
    <w:qFormat/>
    <w:locked/>
    <w:uiPriority w:val="0"/>
  </w:style>
  <w:style w:type="character" w:customStyle="1" w:styleId="52">
    <w:name w:val="批注主题 字符"/>
    <w:link w:val="35"/>
    <w:qFormat/>
    <w:locked/>
    <w:uiPriority w:val="0"/>
    <w:rPr>
      <w:b/>
    </w:rPr>
  </w:style>
  <w:style w:type="character" w:customStyle="1" w:styleId="53">
    <w:name w:val="正文文本缩进 3 字符"/>
    <w:link w:val="29"/>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9"/>
    <w:qFormat/>
    <w:uiPriority w:val="0"/>
    <w:rPr>
      <w:rFonts w:cs="Times New Roman"/>
    </w:rPr>
  </w:style>
  <w:style w:type="character" w:customStyle="1" w:styleId="59">
    <w:name w:val="页眉 字符"/>
    <w:link w:val="24"/>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字符"/>
    <w:link w:val="12"/>
    <w:qFormat/>
    <w:locked/>
    <w:uiPriority w:val="0"/>
  </w:style>
  <w:style w:type="character" w:customStyle="1" w:styleId="62">
    <w:name w:val="标题 字符"/>
    <w:link w:val="34"/>
    <w:qFormat/>
    <w:locked/>
    <w:uiPriority w:val="0"/>
    <w:rPr>
      <w:rFonts w:ascii="Arial" w:hAnsi="Arial"/>
      <w:b/>
      <w:sz w:val="32"/>
    </w:rPr>
  </w:style>
  <w:style w:type="character" w:customStyle="1" w:styleId="63">
    <w:name w:val="日期 字符"/>
    <w:link w:val="20"/>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字符"/>
    <w:link w:val="22"/>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link w:val="10"/>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字符"/>
    <w:link w:val="18"/>
    <w:qFormat/>
    <w:locked/>
    <w:uiPriority w:val="0"/>
    <w:rPr>
      <w:rFonts w:ascii="宋体" w:hAnsi="Courier New"/>
    </w:rPr>
  </w:style>
  <w:style w:type="character" w:customStyle="1" w:styleId="73">
    <w:name w:val="页脚 字符"/>
    <w:link w:val="23"/>
    <w:qFormat/>
    <w:locked/>
    <w:uiPriority w:val="99"/>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9"/>
    <w:semiHidden/>
    <w:qFormat/>
    <w:uiPriority w:val="99"/>
  </w:style>
  <w:style w:type="character" w:customStyle="1" w:styleId="78">
    <w:name w:val="批注文字 字符11"/>
    <w:basedOn w:val="39"/>
    <w:qFormat/>
    <w:uiPriority w:val="0"/>
    <w:rPr>
      <w:rFonts w:cs="Times New Roman"/>
      <w:kern w:val="2"/>
      <w:sz w:val="21"/>
    </w:rPr>
  </w:style>
  <w:style w:type="character" w:customStyle="1" w:styleId="79">
    <w:name w:val="正文文本缩进 字符"/>
    <w:basedOn w:val="39"/>
    <w:link w:val="14"/>
    <w:qFormat/>
    <w:uiPriority w:val="99"/>
    <w:rPr>
      <w:rFonts w:ascii="Calibri" w:hAnsi="Calibri" w:eastAsia="宋体" w:cs="Times New Roman"/>
      <w:szCs w:val="20"/>
    </w:rPr>
  </w:style>
  <w:style w:type="character" w:customStyle="1" w:styleId="80">
    <w:name w:val="文档结构图 字符1"/>
    <w:basedOn w:val="39"/>
    <w:semiHidden/>
    <w:qFormat/>
    <w:uiPriority w:val="99"/>
    <w:rPr>
      <w:rFonts w:ascii="Microsoft YaHei UI" w:eastAsia="Microsoft YaHei UI"/>
      <w:sz w:val="18"/>
      <w:szCs w:val="18"/>
    </w:rPr>
  </w:style>
  <w:style w:type="character" w:customStyle="1" w:styleId="81">
    <w:name w:val="文档结构图 字符11"/>
    <w:basedOn w:val="39"/>
    <w:semiHidden/>
    <w:qFormat/>
    <w:uiPriority w:val="99"/>
    <w:rPr>
      <w:rFonts w:ascii="Microsoft YaHei UI" w:eastAsia="Microsoft YaHei UI" w:cs="Times New Roman"/>
      <w:kern w:val="2"/>
      <w:sz w:val="18"/>
      <w:szCs w:val="18"/>
    </w:rPr>
  </w:style>
  <w:style w:type="character" w:customStyle="1" w:styleId="82">
    <w:name w:val="正文文本 字符"/>
    <w:basedOn w:val="39"/>
    <w:link w:val="13"/>
    <w:qFormat/>
    <w:uiPriority w:val="99"/>
    <w:rPr>
      <w:rFonts w:ascii="Calibri" w:hAnsi="Calibri" w:eastAsia="新宋体" w:cs="Times New Roman"/>
      <w:szCs w:val="21"/>
    </w:rPr>
  </w:style>
  <w:style w:type="character" w:customStyle="1" w:styleId="83">
    <w:name w:val="纯文本 字符1"/>
    <w:basedOn w:val="39"/>
    <w:semiHidden/>
    <w:qFormat/>
    <w:uiPriority w:val="99"/>
    <w:rPr>
      <w:rFonts w:hAnsi="Courier New" w:cs="Courier New" w:asciiTheme="minorEastAsia"/>
    </w:rPr>
  </w:style>
  <w:style w:type="character" w:customStyle="1" w:styleId="84">
    <w:name w:val="纯文本 字符11"/>
    <w:basedOn w:val="39"/>
    <w:qFormat/>
    <w:uiPriority w:val="0"/>
    <w:rPr>
      <w:rFonts w:hAnsi="Courier New" w:cs="Courier New" w:asciiTheme="minorEastAsia" w:eastAsiaTheme="minorEastAsia"/>
      <w:kern w:val="2"/>
      <w:sz w:val="21"/>
    </w:rPr>
  </w:style>
  <w:style w:type="character" w:customStyle="1" w:styleId="85">
    <w:name w:val="页眉 字符1"/>
    <w:basedOn w:val="39"/>
    <w:semiHidden/>
    <w:qFormat/>
    <w:uiPriority w:val="99"/>
    <w:rPr>
      <w:sz w:val="18"/>
      <w:szCs w:val="18"/>
    </w:rPr>
  </w:style>
  <w:style w:type="character" w:customStyle="1" w:styleId="86">
    <w:name w:val="页眉 字符11"/>
    <w:basedOn w:val="39"/>
    <w:semiHidden/>
    <w:qFormat/>
    <w:uiPriority w:val="99"/>
    <w:rPr>
      <w:rFonts w:cs="Times New Roman"/>
      <w:kern w:val="2"/>
      <w:sz w:val="18"/>
      <w:szCs w:val="18"/>
    </w:rPr>
  </w:style>
  <w:style w:type="character" w:customStyle="1" w:styleId="87">
    <w:name w:val="批注框文本 字符1"/>
    <w:basedOn w:val="39"/>
    <w:semiHidden/>
    <w:qFormat/>
    <w:uiPriority w:val="99"/>
    <w:rPr>
      <w:sz w:val="18"/>
      <w:szCs w:val="18"/>
    </w:rPr>
  </w:style>
  <w:style w:type="character" w:customStyle="1" w:styleId="88">
    <w:name w:val="批注框文本 字符11"/>
    <w:basedOn w:val="39"/>
    <w:semiHidden/>
    <w:qFormat/>
    <w:uiPriority w:val="99"/>
    <w:rPr>
      <w:rFonts w:cs="Times New Roman"/>
      <w:kern w:val="2"/>
      <w:sz w:val="18"/>
      <w:szCs w:val="18"/>
    </w:rPr>
  </w:style>
  <w:style w:type="character" w:customStyle="1" w:styleId="89">
    <w:name w:val="日期 字符1"/>
    <w:basedOn w:val="39"/>
    <w:semiHidden/>
    <w:qFormat/>
    <w:uiPriority w:val="99"/>
  </w:style>
  <w:style w:type="character" w:customStyle="1" w:styleId="90">
    <w:name w:val="日期 字符11"/>
    <w:basedOn w:val="39"/>
    <w:semiHidden/>
    <w:qFormat/>
    <w:uiPriority w:val="99"/>
    <w:rPr>
      <w:rFonts w:cs="Times New Roman"/>
      <w:kern w:val="2"/>
      <w:sz w:val="21"/>
    </w:rPr>
  </w:style>
  <w:style w:type="character" w:customStyle="1" w:styleId="91">
    <w:name w:val="页脚 字符1"/>
    <w:basedOn w:val="39"/>
    <w:semiHidden/>
    <w:qFormat/>
    <w:uiPriority w:val="99"/>
    <w:rPr>
      <w:sz w:val="18"/>
      <w:szCs w:val="18"/>
    </w:rPr>
  </w:style>
  <w:style w:type="character" w:customStyle="1" w:styleId="92">
    <w:name w:val="页脚 字符11"/>
    <w:basedOn w:val="39"/>
    <w:semiHidden/>
    <w:qFormat/>
    <w:uiPriority w:val="99"/>
    <w:rPr>
      <w:rFonts w:cs="Times New Roman"/>
      <w:kern w:val="2"/>
      <w:sz w:val="18"/>
      <w:szCs w:val="18"/>
    </w:rPr>
  </w:style>
  <w:style w:type="character" w:customStyle="1" w:styleId="93">
    <w:name w:val="正文文本缩进 2 字符1"/>
    <w:basedOn w:val="39"/>
    <w:semiHidden/>
    <w:qFormat/>
    <w:uiPriority w:val="99"/>
  </w:style>
  <w:style w:type="character" w:customStyle="1" w:styleId="94">
    <w:name w:val="正文文本缩进 2 字符11"/>
    <w:basedOn w:val="39"/>
    <w:semiHidden/>
    <w:qFormat/>
    <w:uiPriority w:val="99"/>
    <w:rPr>
      <w:rFonts w:cs="Times New Roman"/>
      <w:kern w:val="2"/>
      <w:sz w:val="21"/>
    </w:rPr>
  </w:style>
  <w:style w:type="character" w:customStyle="1" w:styleId="95">
    <w:name w:val="正文文本缩进 3 字符1"/>
    <w:basedOn w:val="39"/>
    <w:semiHidden/>
    <w:qFormat/>
    <w:uiPriority w:val="99"/>
    <w:rPr>
      <w:sz w:val="16"/>
      <w:szCs w:val="16"/>
    </w:rPr>
  </w:style>
  <w:style w:type="character" w:customStyle="1" w:styleId="96">
    <w:name w:val="正文文本缩进 3 字符11"/>
    <w:basedOn w:val="39"/>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9"/>
    <w:qFormat/>
    <w:uiPriority w:val="10"/>
    <w:rPr>
      <w:rFonts w:asciiTheme="majorHAnsi" w:hAnsiTheme="majorHAnsi" w:eastAsiaTheme="majorEastAsia" w:cstheme="majorBidi"/>
      <w:b/>
      <w:bCs/>
      <w:sz w:val="32"/>
      <w:szCs w:val="32"/>
    </w:rPr>
  </w:style>
  <w:style w:type="character" w:customStyle="1" w:styleId="100">
    <w:name w:val="标题 字符11"/>
    <w:basedOn w:val="39"/>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qFormat/>
    <w:uiPriority w:val="0"/>
    <w:rPr>
      <w:rFonts w:ascii="Calibri" w:hAnsi="Calibri" w:eastAsia="宋体" w:cs="Times New Roman"/>
      <w:szCs w:val="20"/>
    </w:rPr>
  </w:style>
  <w:style w:type="paragraph" w:customStyle="1" w:styleId="104">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qFormat/>
    <w:uiPriority w:val="0"/>
    <w:rPr>
      <w:rFonts w:ascii="Verdana" w:hAnsi="Verdana" w:eastAsia="宋体" w:cs="Times New Roman"/>
      <w:kern w:val="0"/>
      <w:sz w:val="20"/>
      <w:szCs w:val="20"/>
      <w:lang w:eastAsia="en-US"/>
    </w:rPr>
  </w:style>
  <w:style w:type="paragraph" w:customStyle="1" w:styleId="109">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8"/>
    <w:link w:val="115"/>
    <w:qFormat/>
    <w:uiPriority w:val="0"/>
    <w:pPr>
      <w:spacing w:line="360" w:lineRule="auto"/>
      <w:ind w:firstLine="200" w:firstLineChars="200"/>
    </w:pPr>
    <w:rPr>
      <w:rFonts w:hAnsi="宋体"/>
      <w:color w:val="000000"/>
      <w:sz w:val="24"/>
      <w:szCs w:val="24"/>
    </w:rPr>
  </w:style>
  <w:style w:type="paragraph" w:customStyle="1" w:styleId="114">
    <w:name w:val="标书二级标题"/>
    <w:basedOn w:val="4"/>
    <w:link w:val="117"/>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qFormat/>
    <w:locked/>
    <w:uiPriority w:val="0"/>
    <w:rPr>
      <w:rFonts w:ascii="宋体" w:hAnsi="宋体"/>
      <w:color w:val="000000"/>
      <w:sz w:val="24"/>
      <w:szCs w:val="24"/>
    </w:rPr>
  </w:style>
  <w:style w:type="paragraph" w:customStyle="1" w:styleId="116">
    <w:name w:val="标书表格"/>
    <w:basedOn w:val="1"/>
    <w:link w:val="118"/>
    <w:qFormat/>
    <w:uiPriority w:val="0"/>
    <w:pPr>
      <w:jc w:val="center"/>
    </w:pPr>
    <w:rPr>
      <w:rFonts w:ascii="Times New Roman" w:hAnsi="Times New Roman" w:eastAsia="宋体" w:cs="Times New Roman"/>
      <w:b/>
      <w:szCs w:val="20"/>
    </w:rPr>
  </w:style>
  <w:style w:type="character" w:customStyle="1" w:styleId="117">
    <w:name w:val="标书二级标题 字符"/>
    <w:link w:val="114"/>
    <w:qFormat/>
    <w:locked/>
    <w:uiPriority w:val="0"/>
    <w:rPr>
      <w:rFonts w:ascii="宋体" w:hAnsi="宋体" w:eastAsia="黑体" w:cs="Times New Roman"/>
      <w:bCs/>
      <w:sz w:val="28"/>
      <w:szCs w:val="30"/>
    </w:rPr>
  </w:style>
  <w:style w:type="character" w:customStyle="1" w:styleId="118">
    <w:name w:val="标书表格 字符"/>
    <w:link w:val="116"/>
    <w:qFormat/>
    <w:locked/>
    <w:uiPriority w:val="0"/>
    <w:rPr>
      <w:rFonts w:ascii="Times New Roman" w:hAnsi="Times New Roman" w:eastAsia="宋体" w:cs="Times New Roman"/>
      <w:b/>
      <w:szCs w:val="20"/>
    </w:rPr>
  </w:style>
  <w:style w:type="paragraph" w:customStyle="1" w:styleId="119">
    <w:name w:val="标书三级标题"/>
    <w:basedOn w:val="5"/>
    <w:next w:val="113"/>
    <w:link w:val="120"/>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qFormat/>
    <w:locked/>
    <w:uiPriority w:val="0"/>
    <w:rPr>
      <w:b/>
      <w:color w:val="000000"/>
      <w:sz w:val="24"/>
    </w:rPr>
  </w:style>
  <w:style w:type="paragraph" w:customStyle="1" w:styleId="122">
    <w:name w:val="标三级标题"/>
    <w:basedOn w:val="119"/>
    <w:link w:val="121"/>
    <w:qFormat/>
    <w:uiPriority w:val="0"/>
    <w:rPr>
      <w:rFonts w:asciiTheme="minorHAnsi" w:hAnsiTheme="minorHAnsi" w:eastAsiaTheme="minorEastAsia" w:cstheme="minorBidi"/>
      <w:bCs w:val="0"/>
      <w:szCs w:val="22"/>
    </w:rPr>
  </w:style>
  <w:style w:type="character" w:customStyle="1" w:styleId="123">
    <w:name w:val="标正文 字符"/>
    <w:link w:val="124"/>
    <w:qFormat/>
    <w:locked/>
    <w:uiPriority w:val="0"/>
    <w:rPr>
      <w:rFonts w:ascii="宋体" w:eastAsia="宋体"/>
      <w:color w:val="000000"/>
      <w:sz w:val="24"/>
    </w:rPr>
  </w:style>
  <w:style w:type="paragraph" w:customStyle="1" w:styleId="124">
    <w:name w:val="标正文"/>
    <w:basedOn w:val="113"/>
    <w:link w:val="123"/>
    <w:qFormat/>
    <w:uiPriority w:val="0"/>
    <w:pPr>
      <w:ind w:firstLine="480"/>
    </w:pPr>
    <w:rPr>
      <w:rFonts w:eastAsia="宋体" w:hAnsiTheme="minorHAnsi"/>
      <w:szCs w:val="22"/>
    </w:rPr>
  </w:style>
  <w:style w:type="paragraph" w:customStyle="1" w:styleId="125">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qFormat/>
    <w:uiPriority w:val="0"/>
    <w:pPr>
      <w:spacing w:beforeLines="25" w:afterLines="25" w:line="300" w:lineRule="auto"/>
    </w:pPr>
    <w:rPr>
      <w:szCs w:val="24"/>
    </w:rPr>
  </w:style>
  <w:style w:type="paragraph" w:styleId="127">
    <w:name w:val="List Paragraph"/>
    <w:basedOn w:val="1"/>
    <w:qFormat/>
    <w:uiPriority w:val="99"/>
    <w:pPr>
      <w:ind w:firstLine="420" w:firstLineChars="200"/>
    </w:pPr>
  </w:style>
  <w:style w:type="paragraph" w:customStyle="1" w:styleId="128">
    <w:name w:val="WPSOffice手动目录 1"/>
    <w:qFormat/>
    <w:uiPriority w:val="0"/>
    <w:rPr>
      <w:rFonts w:ascii="Times New Roman" w:hAnsi="Times New Roman" w:eastAsia="宋体" w:cs="Times New Roman"/>
      <w:lang w:val="en-US" w:eastAsia="zh-CN" w:bidi="ar-SA"/>
    </w:rPr>
  </w:style>
  <w:style w:type="table" w:customStyle="1" w:styleId="129">
    <w:name w:val="Table Normal"/>
    <w:semiHidden/>
    <w:unhideWhenUsed/>
    <w:qFormat/>
    <w:uiPriority w:val="0"/>
    <w:tblPr>
      <w:tblCellMar>
        <w:top w:w="0" w:type="dxa"/>
        <w:left w:w="0" w:type="dxa"/>
        <w:bottom w:w="0" w:type="dxa"/>
        <w:right w:w="0" w:type="dxa"/>
      </w:tblCellMar>
    </w:tblPr>
  </w:style>
  <w:style w:type="character" w:customStyle="1" w:styleId="130">
    <w:name w:val="NormalCharacter"/>
    <w:qFormat/>
    <w:uiPriority w:val="0"/>
  </w:style>
  <w:style w:type="paragraph" w:customStyle="1" w:styleId="131">
    <w:name w:val="Table Paragraph"/>
    <w:basedOn w:val="1"/>
    <w:qFormat/>
    <w:uiPriority w:val="1"/>
    <w:rPr>
      <w:rFonts w:ascii="宋体" w:hAnsi="宋体" w:eastAsia="宋体" w:cs="宋体"/>
    </w:rPr>
  </w:style>
  <w:style w:type="paragraph" w:customStyle="1" w:styleId="132">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3">
    <w:name w:val="无间隔1"/>
    <w:qFormat/>
    <w:uiPriority w:val="0"/>
    <w:rPr>
      <w:rFonts w:ascii="Calibri" w:hAnsi="Calibri" w:eastAsia="Calibri" w:cs="Times New Roman"/>
      <w:szCs w:val="22"/>
      <w:lang w:val="en-GB" w:eastAsia="en-US" w:bidi="ar-SA"/>
    </w:rPr>
  </w:style>
  <w:style w:type="paragraph" w:customStyle="1" w:styleId="134">
    <w:name w:val="CM22"/>
    <w:basedOn w:val="75"/>
    <w:next w:val="75"/>
    <w:qFormat/>
    <w:uiPriority w:val="0"/>
    <w:pPr>
      <w:spacing w:after="125"/>
    </w:pPr>
    <w:rPr>
      <w:rFonts w:cs="Times New Roman"/>
      <w:color w:val="auto"/>
    </w:rPr>
  </w:style>
  <w:style w:type="paragraph" w:customStyle="1" w:styleId="135">
    <w:name w:val="List Paragraph1"/>
    <w:basedOn w:val="1"/>
    <w:qFormat/>
    <w:uiPriority w:val="0"/>
    <w:pPr>
      <w:ind w:firstLine="420" w:firstLineChars="200"/>
    </w:pPr>
    <w:rPr>
      <w:rFonts w:ascii="Calibri" w:hAnsi="Calibri"/>
      <w:szCs w:val="22"/>
    </w:rPr>
  </w:style>
  <w:style w:type="paragraph" w:customStyle="1" w:styleId="136">
    <w:name w:val="首行缩进"/>
    <w:basedOn w:val="1"/>
    <w:qFormat/>
    <w:uiPriority w:val="0"/>
    <w:pPr>
      <w:spacing w:line="360" w:lineRule="auto"/>
      <w:ind w:firstLine="480" w:firstLineChars="200"/>
    </w:pPr>
    <w:rPr>
      <w:rFonts w:ascii="宋体" w:hAnsi="宋体" w:eastAsia="仿宋_GB2312" w:cs="宋体"/>
      <w:sz w:val="24"/>
      <w:szCs w:val="20"/>
    </w:rPr>
  </w:style>
  <w:style w:type="paragraph" w:customStyle="1" w:styleId="137">
    <w:name w:val="Table Text"/>
    <w:basedOn w:val="1"/>
    <w:semiHidden/>
    <w:qFormat/>
    <w:uiPriority w:val="0"/>
    <w:pPr>
      <w:widowControl/>
      <w:kinsoku w:val="0"/>
      <w:autoSpaceDE w:val="0"/>
      <w:autoSpaceDN w:val="0"/>
      <w:adjustRightInd w:val="0"/>
      <w:snapToGrid w:val="0"/>
      <w:jc w:val="left"/>
      <w:textAlignment w:val="baseline"/>
    </w:pPr>
    <w:rPr>
      <w:rFonts w:ascii="Times New Roman" w:hAnsi="Times New Roman" w:eastAsia="宋体" w:cs="Times New Roman"/>
      <w:color w:val="000000"/>
      <w:kern w:val="0"/>
      <w:sz w:val="22"/>
    </w:rPr>
  </w:style>
  <w:style w:type="character" w:customStyle="1" w:styleId="138">
    <w:name w:val="font41"/>
    <w:basedOn w:val="39"/>
    <w:qFormat/>
    <w:uiPriority w:val="0"/>
    <w:rPr>
      <w:rFonts w:hint="eastAsia" w:ascii="宋体" w:hAnsi="宋体" w:eastAsia="宋体" w:cs="宋体"/>
      <w:color w:val="000000"/>
      <w:sz w:val="21"/>
      <w:szCs w:val="21"/>
      <w:u w:val="none"/>
    </w:rPr>
  </w:style>
  <w:style w:type="character" w:customStyle="1" w:styleId="139">
    <w:name w:val="font12"/>
    <w:basedOn w:val="39"/>
    <w:qFormat/>
    <w:uiPriority w:val="0"/>
    <w:rPr>
      <w:rFonts w:hint="eastAsia" w:ascii="微软雅黑" w:hAnsi="微软雅黑" w:eastAsia="微软雅黑" w:cs="微软雅黑"/>
      <w:b/>
      <w:bCs/>
      <w:color w:val="000000"/>
      <w:sz w:val="22"/>
      <w:szCs w:val="22"/>
      <w:u w:val="none"/>
    </w:rPr>
  </w:style>
  <w:style w:type="character" w:customStyle="1" w:styleId="140">
    <w:name w:val="font31"/>
    <w:basedOn w:val="39"/>
    <w:qFormat/>
    <w:uiPriority w:val="0"/>
    <w:rPr>
      <w:rFonts w:hint="eastAsia" w:ascii="微软雅黑" w:hAnsi="微软雅黑" w:eastAsia="微软雅黑" w:cs="微软雅黑"/>
      <w:color w:val="000000"/>
      <w:sz w:val="22"/>
      <w:szCs w:val="22"/>
      <w:u w:val="none"/>
    </w:rPr>
  </w:style>
  <w:style w:type="character" w:customStyle="1" w:styleId="141">
    <w:name w:val="font21"/>
    <w:basedOn w:val="39"/>
    <w:qFormat/>
    <w:uiPriority w:val="0"/>
    <w:rPr>
      <w:rFonts w:hint="default" w:ascii="Calibri" w:hAnsi="Calibri" w:cs="Calibri"/>
      <w:color w:val="000000"/>
      <w:sz w:val="22"/>
      <w:szCs w:val="22"/>
      <w:u w:val="none"/>
    </w:rPr>
  </w:style>
  <w:style w:type="character" w:customStyle="1" w:styleId="142">
    <w:name w:val="font91"/>
    <w:basedOn w:val="39"/>
    <w:qFormat/>
    <w:uiPriority w:val="0"/>
    <w:rPr>
      <w:rFonts w:hint="eastAsia" w:ascii="微软雅黑" w:hAnsi="微软雅黑" w:eastAsia="微软雅黑" w:cs="微软雅黑"/>
      <w:color w:val="000000"/>
      <w:sz w:val="21"/>
      <w:szCs w:val="21"/>
      <w:u w:val="none"/>
    </w:rPr>
  </w:style>
  <w:style w:type="character" w:customStyle="1" w:styleId="143">
    <w:name w:val="font101"/>
    <w:basedOn w:val="39"/>
    <w:qFormat/>
    <w:uiPriority w:val="0"/>
    <w:rPr>
      <w:rFonts w:hint="default" w:ascii="Arial" w:hAnsi="Arial" w:cs="Arial"/>
      <w:color w:val="000000"/>
      <w:sz w:val="21"/>
      <w:szCs w:val="21"/>
      <w:u w:val="none"/>
    </w:rPr>
  </w:style>
  <w:style w:type="character" w:customStyle="1" w:styleId="144">
    <w:name w:val="font111"/>
    <w:basedOn w:val="39"/>
    <w:qFormat/>
    <w:uiPriority w:val="0"/>
    <w:rPr>
      <w:rFonts w:hint="eastAsia" w:ascii="宋体" w:hAnsi="宋体" w:eastAsia="宋体" w:cs="宋体"/>
      <w:color w:val="000000"/>
      <w:sz w:val="21"/>
      <w:szCs w:val="21"/>
      <w:u w:val="none"/>
    </w:rPr>
  </w:style>
  <w:style w:type="character" w:customStyle="1" w:styleId="145">
    <w:name w:val="标题 2 Char"/>
    <w:basedOn w:val="39"/>
    <w:link w:val="4"/>
    <w:qFormat/>
    <w:uiPriority w:val="0"/>
    <w:rPr>
      <w:rFonts w:ascii="Cambria" w:hAnsi="Cambria" w:eastAsia="宋体"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footer" Target="foot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header" Target="header10.xml"/><Relationship Id="rId36" Type="http://schemas.openxmlformats.org/officeDocument/2006/relationships/header" Target="header9.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82</Pages>
  <Words>31566</Words>
  <Characters>33036</Characters>
  <Lines>305</Lines>
  <Paragraphs>86</Paragraphs>
  <TotalTime>12</TotalTime>
  <ScaleCrop>false</ScaleCrop>
  <LinksUpToDate>false</LinksUpToDate>
  <CharactersWithSpaces>39379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李月兵</cp:lastModifiedBy>
  <cp:lastPrinted>2022-07-01T11:19:00Z</cp:lastPrinted>
  <dcterms:modified xsi:type="dcterms:W3CDTF">2025-04-03T02:17:51Z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ies>
</file>