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济南成型厂锻造一部模箱维修项目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15480"/>
      <w:bookmarkStart w:id="2" w:name="_Toc29994"/>
      <w:bookmarkStart w:id="3" w:name="_Toc5202"/>
      <w:bookmarkStart w:id="4" w:name="_Toc2224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项目名称：济南成型厂锻造一部模箱维修项目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项目编号：FSCZB2025100066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招标内容：成型厂MP8000转向节、曲轴切边下模箱因长期使用，出现安装面变形、螺纹断丝等问题，需外委维修。该项目10月11日经EAM审批备案。拟采用公开招标方式，费用归集入制造费用。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陈学良</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电话：19861834499</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邮箱：chenxueliang@sinotruk.com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4.16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必须是独立法人机构，具有独立承担民事责任能力，投标人注册资金不低于500万元；公司成立三年以上（以营业执照成立日期到开标当日满三年为准）；且经营范围满足招标人需求；并在人员、设备、资金等方面具有承担本项目的能力。</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2、投标人应具有统一社会信用代码的营业执照副本。</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3、经营资质具有锻造工装制作及维修等相关内容，且有锻造工装焊修制作经验。</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4、投标人应通过GB/ISO9001</w:t>
            </w:r>
            <w:r>
              <w:rPr>
                <w:rFonts w:hint="eastAsia" w:ascii="仿宋_GB2312" w:hAnsi="仿宋_GB2312" w:eastAsia="仿宋_GB2312" w:cs="仿宋_GB2312"/>
                <w:color w:val="000000"/>
                <w:sz w:val="24"/>
                <w:szCs w:val="24"/>
                <w:lang w:val="en-US" w:eastAsia="zh-CN"/>
              </w:rPr>
              <w:t>或IATF16949</w:t>
            </w:r>
            <w:r>
              <w:rPr>
                <w:rFonts w:hint="eastAsia" w:ascii="仿宋_GB2312" w:hAnsi="仿宋_GB2312" w:eastAsia="仿宋_GB2312" w:cs="仿宋_GB2312"/>
                <w:color w:val="000000"/>
                <w:sz w:val="24"/>
                <w:szCs w:val="24"/>
              </w:rPr>
              <w:t>质量体系认证。</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5、投标人在工商行政管理局的《国家企业信用信息公示系统》中查询不存在不良记录。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6、投标人近三年内在经营活动中无与本项目有关的违法及重大违规情况或被列入招标人“黑名单”。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r>
              <w:rPr>
                <w:rFonts w:hint="eastAsia" w:ascii="仿宋_GB2312" w:hAnsi="仿宋_GB2312" w:eastAsia="仿宋_GB2312" w:cs="仿宋_GB2312"/>
                <w:color w:val="000000"/>
                <w:sz w:val="24"/>
                <w:szCs w:val="24"/>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8、本次招标不接受联合体投标，不接受代理商投标。投标方的直接或间接股东、法定代表人、董事、监事、高管非重汽员工及其亲属。</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投标人需提供：最近半年完税证明、信用证明材料（中国人民银行信用代码证+征信报告）；年度纳税信用评价信息（可从电子税务局查询截图）；企业对外担保说明（写明投标人单位对外有无对外担保和质押业务）。</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投标人在向招标人出示投标保证金缴纳凭证后方可进行投标。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2025年10月21日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2025年11月17日17：00前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2025年11月17日17：00前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2025年10月26日17：00前</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2025年11月17日17：00前</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2025年11月17日17：00前</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2025年11月18</w:t>
            </w:r>
            <w:bookmarkStart w:id="100" w:name="_GoBack"/>
            <w:bookmarkEnd w:id="100"/>
            <w:r>
              <w:rPr>
                <w:rFonts w:hint="eastAsia" w:ascii="仿宋_GB2312" w:hAnsi="仿宋_GB2312" w:eastAsia="仿宋_GB2312" w:cs="仿宋_GB2312"/>
                <w:color w:val="000000"/>
                <w:sz w:val="24"/>
                <w:szCs w:val="24"/>
                <w:highlight w:val="green"/>
                <w:lang w:val="en-US" w:eastAsia="zh-CN"/>
              </w:rPr>
              <w:t>日9：00。（暂定）</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线上会议室（暂定）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green"/>
              </w:rPr>
              <w:t>评标方法：</w:t>
            </w:r>
            <w:r>
              <w:rPr>
                <w:rFonts w:hint="eastAsia" w:ascii="宋体" w:hAnsi="宋体" w:eastAsia="宋体" w:cs="宋体"/>
                <w:b/>
                <w:bCs/>
                <w:sz w:val="24"/>
                <w:szCs w:val="24"/>
                <w:highlight w:val="green"/>
              </w:rPr>
              <w:t>资质标审核→技术标评审→商务标评审。技术标入围后，原则上选取</w:t>
            </w:r>
            <w:r>
              <w:rPr>
                <w:rFonts w:hint="eastAsia" w:ascii="宋体" w:hAnsi="宋体" w:eastAsia="宋体" w:cs="Times New Roman"/>
                <w:b/>
                <w:bCs/>
                <w:color w:val="000000"/>
                <w:sz w:val="24"/>
                <w:szCs w:val="24"/>
                <w:highlight w:val="green"/>
              </w:rPr>
              <w:t>合理最低价中标</w:t>
            </w:r>
            <w:r>
              <w:rPr>
                <w:rFonts w:hint="eastAsia" w:ascii="宋体" w:hAnsi="宋体" w:eastAsia="宋体" w:cs="宋体"/>
                <w:sz w:val="24"/>
                <w:szCs w:val="24"/>
                <w:highlight w:val="green"/>
              </w:rPr>
              <w:t>。</w:t>
            </w:r>
            <w:r>
              <w:rPr>
                <w:rFonts w:hint="eastAsia" w:ascii="仿宋_GB2312" w:hAnsi="仿宋_GB2312" w:eastAsia="仿宋_GB2312" w:cs="仿宋_GB2312"/>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济南成型厂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合格后一年，质量保证金在质量保证期满无质量问题后无息返还。</w:t>
            </w:r>
          </w:p>
          <w:p>
            <w:pPr>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质量保证金收取：</w:t>
            </w:r>
          </w:p>
          <w:p>
            <w:pPr>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年度质保金额度=供方上一年度入账发票（含税）采购额×5%×风险系数，最低1万元，最高200万元（年度合同金额低于1万元的，按合同金额的5%收取，一次性合同质保金按合同金额的5%收取）。年度质量索赔费用与年度供货额的比率，为质量索赔比率（A）；根据不同的质量索赔比率设定不同的风险系数：A≤2%，风险系数=1； 2%&lt; A≤5%，风险系数=1.2；5%&lt; A≤10%，风险系数=1.5； A&gt;10%，风险系数=2。对于新准入的供方，按照当年度已挂账发票（含税）逐票预留5%（最高200万元），均自甲方应付账款中扣除。</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9448"/>
      <w:bookmarkStart w:id="8" w:name="_Toc19183"/>
      <w:bookmarkStart w:id="9" w:name="_Toc27087"/>
      <w:bookmarkStart w:id="10" w:name="_Toc11216"/>
      <w:bookmarkStart w:id="11" w:name="_Toc6577"/>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r>
        <w:rPr>
          <w:rFonts w:hint="eastAsia" w:ascii="仿宋_GB2312" w:hAnsi="仿宋_GB2312" w:eastAsia="仿宋_GB2312" w:cs="仿宋_GB2312"/>
          <w:color w:val="000000"/>
          <w:sz w:val="24"/>
          <w:szCs w:val="24"/>
          <w:highlight w:val="green"/>
        </w:rPr>
        <w:t>。</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19" w:name="_Toc33266627"/>
      <w:bookmarkStart w:id="20" w:name="_Toc33285487"/>
      <w:bookmarkStart w:id="21" w:name="_Toc30534"/>
      <w:bookmarkStart w:id="22" w:name="_Toc33266950"/>
      <w:bookmarkStart w:id="23" w:name="_Toc33267001"/>
      <w:bookmarkStart w:id="24" w:name="_Toc33265653"/>
      <w:bookmarkStart w:id="25" w:name="_Toc33266914"/>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654"/>
      <w:bookmarkStart w:id="29" w:name="_Toc33285489"/>
      <w:bookmarkStart w:id="30" w:name="_Toc395116634"/>
      <w:bookmarkStart w:id="31" w:name="_Toc33266951"/>
      <w:bookmarkStart w:id="32" w:name="_Toc33267002"/>
      <w:bookmarkStart w:id="33" w:name="_Toc33266628"/>
      <w:bookmarkStart w:id="34" w:name="_Toc33266915"/>
      <w:bookmarkStart w:id="35" w:name="_Toc33265753"/>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7"/>
      <w:bookmarkStart w:id="40" w:name="OLE_LINK25"/>
      <w:bookmarkStart w:id="41" w:name="OLE_LINK28"/>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31869"/>
      <w:bookmarkStart w:id="45" w:name="_Toc21022"/>
      <w:bookmarkStart w:id="46" w:name="_Toc762"/>
      <w:bookmarkStart w:id="47" w:name="_Toc2363"/>
      <w:bookmarkStart w:id="48" w:name="_Toc13002"/>
      <w:bookmarkStart w:id="49" w:name="_Toc1347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6346"/>
      <w:bookmarkStart w:id="58" w:name="_Toc28236"/>
      <w:bookmarkStart w:id="59" w:name="_Toc14517"/>
      <w:bookmarkStart w:id="60" w:name="_Toc18606"/>
      <w:bookmarkStart w:id="61" w:name="_Toc22649"/>
      <w:bookmarkStart w:id="62" w:name="_Toc20272"/>
      <w:bookmarkStart w:id="63" w:name="_Toc1884"/>
      <w:bookmarkStart w:id="64" w:name="_Toc24964"/>
      <w:bookmarkStart w:id="65" w:name="_Toc18182"/>
      <w:bookmarkStart w:id="66" w:name="_Toc13988"/>
      <w:bookmarkStart w:id="67" w:name="_Toc4483"/>
      <w:bookmarkStart w:id="68" w:name="_Toc24913"/>
      <w:bookmarkStart w:id="69" w:name="_Toc3372"/>
      <w:bookmarkStart w:id="70" w:name="_Toc30738"/>
      <w:bookmarkStart w:id="71" w:name="_Toc20467"/>
      <w:bookmarkStart w:id="72" w:name="_Toc8202"/>
      <w:bookmarkStart w:id="73" w:name="_Toc12552"/>
      <w:bookmarkStart w:id="74" w:name="_Toc18805"/>
      <w:bookmarkStart w:id="75" w:name="_Toc13562"/>
      <w:bookmarkStart w:id="76" w:name="_Toc23870"/>
      <w:bookmarkStart w:id="77" w:name="_Toc16358"/>
      <w:bookmarkStart w:id="78" w:name="_Toc19672"/>
      <w:bookmarkStart w:id="79" w:name="_Toc21497"/>
      <w:bookmarkStart w:id="80" w:name="_Toc8032"/>
      <w:bookmarkStart w:id="81" w:name="_Toc7110"/>
      <w:bookmarkStart w:id="82" w:name="_Toc32378"/>
      <w:bookmarkStart w:id="83" w:name="_Toc11355"/>
      <w:bookmarkStart w:id="84" w:name="_Toc3565"/>
      <w:bookmarkStart w:id="85" w:name="_Toc4194"/>
      <w:bookmarkStart w:id="86" w:name="_Toc12714"/>
      <w:bookmarkStart w:id="87" w:name="_Toc13555"/>
      <w:bookmarkStart w:id="88" w:name="_Toc133783966"/>
      <w:bookmarkStart w:id="89" w:name="_Toc7511"/>
      <w:bookmarkStart w:id="90" w:name="_Toc6957"/>
      <w:bookmarkStart w:id="91" w:name="_Toc4029"/>
      <w:bookmarkStart w:id="92" w:name="_Toc12563"/>
      <w:bookmarkStart w:id="93" w:name="_Toc4532"/>
      <w:bookmarkStart w:id="94" w:name="_Toc13605"/>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pStyle w:val="23"/>
      </w:pPr>
    </w:p>
    <w:p>
      <w:r>
        <w:br w:type="page"/>
      </w:r>
    </w:p>
    <w:p>
      <w:p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技术</w:t>
      </w:r>
      <w:r>
        <w:rPr>
          <w:rFonts w:hint="eastAsia" w:ascii="宋体" w:hAnsi="宋体" w:eastAsia="宋体" w:cs="宋体"/>
          <w:b/>
          <w:bCs w:val="0"/>
          <w:sz w:val="30"/>
          <w:szCs w:val="30"/>
          <w:lang w:val="en-US" w:eastAsia="zh-CN"/>
        </w:rPr>
        <w:t>协议</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 xml:space="preserve">总  要  求   </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textAlignment w:val="baseline"/>
        <w:rPr>
          <w:rFonts w:hint="eastAsia" w:ascii="宋体" w:hAnsi="宋体" w:eastAsia="宋体" w:cs="宋体"/>
          <w:sz w:val="24"/>
          <w:szCs w:val="24"/>
          <w:highlight w:val="none"/>
        </w:rPr>
      </w:pPr>
      <w:r>
        <w:rPr>
          <w:rFonts w:hint="eastAsia" w:ascii="宋体" w:hAnsi="宋体" w:cs="宋体"/>
          <w:sz w:val="24"/>
          <w:szCs w:val="24"/>
          <w:lang w:eastAsia="zh-CN"/>
        </w:rPr>
        <w:t>甲方</w:t>
      </w: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rFonts w:hint="eastAsia" w:ascii="宋体" w:hAnsi="宋体" w:eastAsia="宋体" w:cs="宋体"/>
          <w:sz w:val="24"/>
          <w:szCs w:val="24"/>
          <w:highlight w:val="none"/>
        </w:rPr>
        <w:t xml:space="preserve">                 （以下简称</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（以下简称</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作为合格</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，其工艺保证能力、生产能力、质量保证能力须经</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技术、生产、质量、采购等部门考察评审，并予以认可。</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highlight w:val="none"/>
        </w:rPr>
        <w:t>为了保证模具外委制作的质量，就</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向</w:t>
      </w:r>
      <w:r>
        <w:rPr>
          <w:rFonts w:hint="eastAsia" w:ascii="宋体" w:hAnsi="宋体" w:cs="宋体"/>
          <w:sz w:val="24"/>
          <w:szCs w:val="24"/>
          <w:highlight w:val="none"/>
          <w:lang w:eastAsia="zh-CN"/>
        </w:rPr>
        <w:t>甲方</w:t>
      </w:r>
      <w:r>
        <w:rPr>
          <w:rFonts w:hint="eastAsia" w:ascii="宋体" w:hAnsi="宋体" w:eastAsia="宋体" w:cs="宋体"/>
          <w:sz w:val="24"/>
          <w:szCs w:val="24"/>
        </w:rPr>
        <w:t>供货的技术要求、产品技术认证、产品质量等事宜经双方充分协商达成以下协议，作为</w:t>
      </w:r>
      <w:r>
        <w:rPr>
          <w:rFonts w:hint="eastAsia" w:ascii="宋体" w:hAnsi="宋体" w:cs="宋体"/>
          <w:sz w:val="24"/>
          <w:szCs w:val="24"/>
          <w:lang w:eastAsia="zh-CN"/>
        </w:rPr>
        <w:t>乙方</w:t>
      </w:r>
      <w:r>
        <w:rPr>
          <w:rFonts w:hint="eastAsia" w:ascii="宋体" w:hAnsi="宋体" w:eastAsia="宋体" w:cs="宋体"/>
          <w:sz w:val="24"/>
          <w:szCs w:val="24"/>
        </w:rPr>
        <w:t>今后供货时，双方共同执行的依据。</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val="en-US" w:eastAsia="zh-CN"/>
        </w:rPr>
        <w:t>基本要求</w:t>
      </w:r>
    </w:p>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乙方</w:t>
      </w:r>
      <w:r>
        <w:rPr>
          <w:rFonts w:hint="eastAsia" w:ascii="宋体" w:hAnsi="宋体" w:eastAsia="宋体" w:cs="宋体"/>
          <w:sz w:val="24"/>
          <w:szCs w:val="24"/>
        </w:rPr>
        <w:t>所供的货物，必须符合中国最新版的法律、法规和相关标准、规范的要求，符合项目所在地政府有关特殊要求。</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乙方</w:t>
      </w:r>
      <w:r>
        <w:rPr>
          <w:rFonts w:hint="eastAsia" w:ascii="宋体" w:hAnsi="宋体" w:eastAsia="宋体" w:cs="宋体"/>
          <w:sz w:val="24"/>
          <w:szCs w:val="24"/>
        </w:rPr>
        <w:t>应保证所供货物的完整性</w:t>
      </w:r>
      <w:r>
        <w:rPr>
          <w:rFonts w:hint="eastAsia" w:ascii="宋体" w:hAnsi="宋体" w:eastAsia="宋体" w:cs="宋体"/>
          <w:sz w:val="24"/>
          <w:szCs w:val="24"/>
          <w:lang w:eastAsia="zh-CN"/>
        </w:rPr>
        <w:t>、</w:t>
      </w:r>
      <w:r>
        <w:rPr>
          <w:rFonts w:hint="eastAsia" w:ascii="宋体" w:hAnsi="宋体" w:eastAsia="宋体" w:cs="宋体"/>
          <w:sz w:val="24"/>
          <w:szCs w:val="24"/>
        </w:rPr>
        <w:t>成套性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全新性</w:t>
      </w:r>
      <w:r>
        <w:rPr>
          <w:rFonts w:hint="eastAsia" w:ascii="宋体" w:hAnsi="宋体" w:eastAsia="宋体" w:cs="宋体"/>
          <w:sz w:val="24"/>
          <w:szCs w:val="24"/>
        </w:rPr>
        <w:t>，能保证货物的正常运行、使用</w:t>
      </w:r>
      <w:r>
        <w:rPr>
          <w:rFonts w:hint="eastAsia" w:ascii="宋体" w:hAnsi="宋体" w:eastAsia="宋体" w:cs="宋体"/>
          <w:sz w:val="24"/>
          <w:szCs w:val="24"/>
          <w:lang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提供给</w:t>
      </w:r>
      <w:r>
        <w:rPr>
          <w:rFonts w:hint="eastAsia" w:ascii="宋体" w:hAnsi="宋体" w:cs="宋体"/>
          <w:color w:val="000000"/>
          <w:sz w:val="24"/>
          <w:szCs w:val="24"/>
          <w:lang w:eastAsia="zh-CN"/>
        </w:rPr>
        <w:t>乙方</w:t>
      </w:r>
      <w:r>
        <w:rPr>
          <w:rFonts w:hint="eastAsia" w:ascii="宋体" w:hAnsi="宋体" w:eastAsia="宋体" w:cs="宋体"/>
          <w:color w:val="000000"/>
          <w:sz w:val="24"/>
          <w:szCs w:val="24"/>
        </w:rPr>
        <w:t>PDF版图纸</w:t>
      </w:r>
      <w:r>
        <w:rPr>
          <w:rFonts w:hint="eastAsia" w:ascii="宋体" w:hAnsi="宋体" w:eastAsia="宋体" w:cs="宋体"/>
          <w:color w:val="000000"/>
          <w:sz w:val="24"/>
          <w:szCs w:val="24"/>
          <w:lang w:val="en-US" w:eastAsia="zh-CN"/>
        </w:rPr>
        <w:t>或</w:t>
      </w:r>
      <w:r>
        <w:rPr>
          <w:rFonts w:hint="eastAsia" w:ascii="宋体" w:hAnsi="宋体" w:eastAsia="宋体" w:cs="宋体"/>
          <w:color w:val="000000"/>
          <w:sz w:val="24"/>
          <w:szCs w:val="24"/>
        </w:rPr>
        <w:t>模具三维造型</w:t>
      </w:r>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rPr>
        <w:t>，</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拥有对图纸的知识产权，</w:t>
      </w:r>
      <w:r>
        <w:rPr>
          <w:rFonts w:hint="eastAsia" w:ascii="宋体" w:hAnsi="宋体" w:cs="宋体"/>
          <w:sz w:val="24"/>
          <w:szCs w:val="24"/>
          <w:lang w:eastAsia="zh-CN"/>
        </w:rPr>
        <w:t>乙方</w:t>
      </w:r>
      <w:r>
        <w:rPr>
          <w:rFonts w:hint="eastAsia" w:ascii="宋体" w:hAnsi="宋体" w:eastAsia="宋体" w:cs="宋体"/>
          <w:sz w:val="24"/>
          <w:szCs w:val="24"/>
        </w:rPr>
        <w:t>应对</w:t>
      </w:r>
      <w:r>
        <w:rPr>
          <w:rFonts w:hint="eastAsia" w:ascii="宋体" w:hAnsi="宋体" w:cs="宋体"/>
          <w:sz w:val="24"/>
          <w:szCs w:val="24"/>
          <w:lang w:eastAsia="zh-CN"/>
        </w:rPr>
        <w:t>甲方</w:t>
      </w:r>
      <w:r>
        <w:rPr>
          <w:rFonts w:hint="eastAsia" w:ascii="宋体" w:hAnsi="宋体" w:eastAsia="宋体" w:cs="宋体"/>
          <w:sz w:val="24"/>
          <w:szCs w:val="24"/>
        </w:rPr>
        <w:t>采购的货物所涉及的技术、产能等信息负有保密义务。</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cs="宋体"/>
          <w:color w:val="000000"/>
          <w:sz w:val="24"/>
          <w:szCs w:val="24"/>
          <w:lang w:eastAsia="zh-CN"/>
        </w:rPr>
        <w:t>乙方</w:t>
      </w:r>
      <w:r>
        <w:rPr>
          <w:rFonts w:hint="eastAsia" w:ascii="宋体" w:hAnsi="宋体" w:eastAsia="宋体" w:cs="宋体"/>
          <w:color w:val="000000"/>
          <w:sz w:val="24"/>
          <w:szCs w:val="24"/>
        </w:rPr>
        <w:t>在委托外协加工时，必须征得</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的书面认可，并对外协方提出技术保密要求，不得将图纸外传，加工完成后，应将外协图纸收回。</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cs="宋体"/>
          <w:sz w:val="24"/>
          <w:szCs w:val="24"/>
          <w:lang w:eastAsia="zh-CN"/>
        </w:rPr>
        <w:t>乙方</w:t>
      </w:r>
      <w:r>
        <w:rPr>
          <w:rFonts w:hint="eastAsia" w:ascii="宋体" w:hAnsi="宋体" w:eastAsia="宋体" w:cs="宋体"/>
          <w:sz w:val="24"/>
          <w:szCs w:val="24"/>
        </w:rPr>
        <w:t>不得自行改变</w:t>
      </w:r>
      <w:r>
        <w:rPr>
          <w:rFonts w:hint="eastAsia" w:ascii="宋体" w:hAnsi="宋体" w:cs="宋体"/>
          <w:sz w:val="24"/>
          <w:szCs w:val="24"/>
          <w:lang w:eastAsia="zh-CN"/>
        </w:rPr>
        <w:t>甲方</w:t>
      </w:r>
      <w:r>
        <w:rPr>
          <w:rFonts w:hint="eastAsia" w:ascii="宋体" w:hAnsi="宋体" w:eastAsia="宋体" w:cs="宋体"/>
          <w:sz w:val="24"/>
          <w:szCs w:val="24"/>
        </w:rPr>
        <w:t>提供的技术资料和技术质量要求，如确实需要更改，须事先征得</w:t>
      </w:r>
      <w:r>
        <w:rPr>
          <w:rFonts w:hint="eastAsia" w:ascii="宋体" w:hAnsi="宋体" w:cs="宋体"/>
          <w:sz w:val="24"/>
          <w:szCs w:val="24"/>
          <w:lang w:eastAsia="zh-CN"/>
        </w:rPr>
        <w:t>甲方</w:t>
      </w:r>
      <w:r>
        <w:rPr>
          <w:rFonts w:hint="eastAsia" w:ascii="宋体" w:hAnsi="宋体" w:eastAsia="宋体" w:cs="宋体"/>
          <w:sz w:val="24"/>
          <w:szCs w:val="24"/>
        </w:rPr>
        <w:t>的书面同意。</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2" w:firstLineChars="20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条  技术规范</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对模箱状态进行确认，并输出检测报告，包括但不限于下述几点：</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1）模箱硬度：模具装配使用面、底面、四个侧面</w:t>
      </w:r>
      <w:r>
        <w:rPr>
          <w:rFonts w:hint="eastAsia" w:ascii="宋体" w:hAnsi="宋体" w:cs="宋体"/>
          <w:sz w:val="24"/>
          <w:szCs w:val="24"/>
          <w:lang w:val="en-US" w:eastAsia="zh-CN"/>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lang w:eastAsia="zh-CN"/>
        </w:rPr>
      </w:pPr>
      <w:r>
        <w:rPr>
          <w:rFonts w:hint="eastAsia" w:ascii="宋体" w:hAnsi="宋体" w:eastAsia="宋体" w:cs="宋体"/>
          <w:sz w:val="24"/>
          <w:szCs w:val="24"/>
          <w:lang w:val="en-US" w:eastAsia="zh-CN"/>
        </w:rPr>
        <w:t>2）裂纹测量评估：</w:t>
      </w:r>
      <w:r>
        <w:rPr>
          <w:rFonts w:hint="eastAsia" w:ascii="宋体" w:hAnsi="宋体" w:eastAsia="宋体" w:cs="宋体"/>
          <w:sz w:val="24"/>
          <w:szCs w:val="24"/>
        </w:rPr>
        <w:t>进行超声波探伤检查，检测方法应符合GB/T6402的相关规定</w:t>
      </w:r>
      <w:r>
        <w:rPr>
          <w:rFonts w:hint="eastAsia" w:ascii="宋体" w:hAnsi="宋体" w:cs="宋体"/>
          <w:sz w:val="24"/>
          <w:szCs w:val="24"/>
          <w:lang w:eastAsia="zh-CN"/>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3）模箱底面以及模具垫板装配面的</w:t>
      </w:r>
      <w:r>
        <w:rPr>
          <w:rFonts w:hint="eastAsia" w:ascii="宋体" w:hAnsi="宋体" w:cs="宋体"/>
          <w:sz w:val="24"/>
          <w:szCs w:val="24"/>
          <w:lang w:val="en-US" w:eastAsia="zh-CN"/>
        </w:rPr>
        <w:t>平行度、平面度；</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cs="宋体"/>
          <w:sz w:val="24"/>
          <w:szCs w:val="24"/>
          <w:lang w:val="en-US" w:eastAsia="zh-CN"/>
        </w:rPr>
        <w:t>4）装配用键/键槽的尺寸精度。</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根据上述检测结果及维修方案要求，对不符合图纸要求的项目进行修复，</w:t>
      </w:r>
      <w:r>
        <w:rPr>
          <w:rFonts w:hint="eastAsia" w:ascii="宋体" w:hAnsi="宋体" w:eastAsia="宋体" w:cs="宋体"/>
          <w:sz w:val="24"/>
          <w:szCs w:val="24"/>
          <w:lang w:val="en-US" w:eastAsia="zh-CN"/>
        </w:rPr>
        <w:t>采用焊补方式修复，修复位置的各项性能指标不得低于基体要求。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选定</w:t>
      </w:r>
      <w:r>
        <w:rPr>
          <w:rFonts w:hint="eastAsia" w:ascii="宋体" w:hAnsi="宋体" w:eastAsia="宋体" w:cs="宋体"/>
          <w:sz w:val="24"/>
          <w:szCs w:val="24"/>
          <w:lang w:val="en-US" w:eastAsia="zh-CN"/>
        </w:rPr>
        <w:t>合理</w:t>
      </w:r>
      <w:r>
        <w:rPr>
          <w:rFonts w:hint="eastAsia" w:ascii="宋体" w:hAnsi="宋体" w:eastAsia="宋体" w:cs="宋体"/>
          <w:sz w:val="24"/>
          <w:szCs w:val="24"/>
        </w:rPr>
        <w:t>焊材</w:t>
      </w:r>
      <w:r>
        <w:rPr>
          <w:rFonts w:hint="eastAsia" w:ascii="宋体" w:hAnsi="宋体" w:eastAsia="宋体" w:cs="宋体"/>
          <w:sz w:val="24"/>
          <w:szCs w:val="24"/>
          <w:lang w:val="en-US" w:eastAsia="zh-CN"/>
        </w:rPr>
        <w:t>及焊接工艺，焊前模箱进行充分的预热，保证热透，焊接过程中采用保温措施，</w:t>
      </w:r>
      <w:r>
        <w:rPr>
          <w:rFonts w:hint="eastAsia" w:ascii="宋体" w:hAnsi="宋体" w:eastAsia="宋体" w:cs="宋体"/>
          <w:sz w:val="24"/>
          <w:szCs w:val="24"/>
        </w:rPr>
        <w:t>基体温度低于300℃时停止焊接，重新进炉加热</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焊接过程中</w:t>
      </w:r>
      <w:r>
        <w:rPr>
          <w:rFonts w:hint="eastAsia" w:ascii="宋体" w:hAnsi="宋体" w:eastAsia="宋体" w:cs="宋体"/>
          <w:sz w:val="24"/>
          <w:szCs w:val="24"/>
        </w:rPr>
        <w:t>用气铲敲击去除应力</w:t>
      </w:r>
      <w:r>
        <w:rPr>
          <w:rFonts w:hint="eastAsia" w:ascii="宋体" w:hAnsi="宋体" w:cs="宋体"/>
          <w:sz w:val="24"/>
          <w:szCs w:val="24"/>
          <w:lang w:eastAsia="zh-CN"/>
        </w:rPr>
        <w:t>、</w:t>
      </w:r>
      <w:r>
        <w:rPr>
          <w:rFonts w:hint="eastAsia" w:ascii="宋体" w:hAnsi="宋体" w:eastAsia="宋体" w:cs="宋体"/>
          <w:sz w:val="24"/>
          <w:szCs w:val="24"/>
        </w:rPr>
        <w:t>去除氧化皮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焊后不低于二次回火处理。</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、采取有效措施降低焊</w:t>
      </w:r>
      <w:r>
        <w:rPr>
          <w:rFonts w:hint="eastAsia" w:ascii="宋体" w:hAnsi="宋体" w:cs="宋体"/>
          <w:sz w:val="24"/>
          <w:szCs w:val="24"/>
          <w:lang w:val="en-US" w:eastAsia="zh-CN"/>
        </w:rPr>
        <w:t>修</w:t>
      </w:r>
      <w:r>
        <w:rPr>
          <w:rFonts w:hint="eastAsia" w:ascii="宋体" w:hAnsi="宋体" w:eastAsia="宋体" w:cs="宋体"/>
          <w:sz w:val="24"/>
          <w:szCs w:val="24"/>
          <w:lang w:val="en-US" w:eastAsia="zh-CN"/>
        </w:rPr>
        <w:t>过程变形，</w:t>
      </w:r>
      <w:r>
        <w:rPr>
          <w:rFonts w:hint="eastAsia" w:ascii="宋体" w:hAnsi="宋体" w:cs="宋体"/>
          <w:sz w:val="24"/>
          <w:szCs w:val="24"/>
          <w:lang w:val="en-US" w:eastAsia="zh-CN"/>
        </w:rPr>
        <w:t>并充分考虑变形的影响制定有效方案</w:t>
      </w:r>
      <w:r>
        <w:rPr>
          <w:rFonts w:hint="eastAsia" w:ascii="宋体" w:hAnsi="宋体" w:eastAsia="宋体" w:cs="宋体"/>
          <w:sz w:val="24"/>
          <w:szCs w:val="24"/>
          <w:lang w:val="en-US" w:eastAsia="zh-CN"/>
        </w:rPr>
        <w:t>，保证修复后模箱各尺寸、平面度、性能要求等均符合图纸要求。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lang w:val="en-US" w:eastAsia="zh-CN"/>
        </w:rPr>
      </w:pPr>
      <w:r>
        <w:rPr>
          <w:rFonts w:hint="eastAsia" w:ascii="宋体" w:hAnsi="宋体" w:cs="宋体"/>
          <w:sz w:val="24"/>
          <w:szCs w:val="24"/>
          <w:lang w:val="en-US" w:eastAsia="zh-CN"/>
        </w:rPr>
        <w:t>5、如果修复过程中发生上下平面度超差需要加工找平情况，要求上下平面加工量之和≤0.5mm；如果加工量较大，乙方需要向甲方反馈，确认修复方案。</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6、模箱基体非焊修位置，维修前后保证硬度偏差＜2HRC，焊修位置维修后硬度满足图纸要求。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7、维修后进行尺寸、硬度、超声波探伤等检查，输出检测报告。</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8、其它未尽事宜双方协商处理。</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default" w:ascii="宋体" w:hAnsi="宋体" w:eastAsia="宋体" w:cs="宋体"/>
          <w:b/>
          <w:color w:val="auto"/>
          <w:sz w:val="20"/>
          <w:szCs w:val="20"/>
          <w:lang w:val="en-US" w:eastAsia="zh-CN"/>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 xml:space="preserve">条  </w:t>
      </w:r>
      <w:r>
        <w:rPr>
          <w:rFonts w:hint="eastAsia" w:ascii="宋体" w:hAnsi="宋体" w:eastAsia="宋体" w:cs="宋体"/>
          <w:b/>
          <w:bCs/>
          <w:sz w:val="24"/>
          <w:szCs w:val="24"/>
          <w:lang w:val="en-US" w:eastAsia="zh-CN"/>
        </w:rPr>
        <w:t>技术更改及技术文件</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1、为确保产品质量乙方必须严格执行甲方提供的产品图纸、执行标准、工艺参数等相关的技术要求，并严格执行甲方评审认可的乙方提交的相关的技术文件（表1），加强生产过程中的质量控制。</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2、如在设计过程中遇到设计更改，甲方及时将技术更改通知乙方，乙方应按更改后的技术要求制造模具并负责将更改后的工装图（三维和二维）等技术文件及时提交给甲方。</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3、乙方不得自行改变双方共同确认的本协议附表中技术资料，如确实需要更改，应事先征得甲方同意。</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4、乙方承诺：符合技术要求只是必要条件，满足使用要求和最终用户的要求是最终目的。</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第四条  制造过程变更</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1、乙方必须保证产品在生产制造过程中达到甲方规定的质量要求并检测合格。</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2、甲方根据产品质量升级等方面的要求，可向乙方提出对产品进行重新鉴定或认证的要求，乙方应提供足够的产品样本，并配合甲方共同完成产品的鉴定或认证工作，其结果双方共享。</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3、如果乙方的生产基地、生产工艺、材料或配套厂商发生了改变，则应及时书面报告甲方，重新提供相关资料（表1）并取得甲方评审认可。</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第五条  产品包装</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1、乙方产品包装须严格执行甲方的企业标准或国家标准和行业有关标准及甲方的其它包装要求。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2、乙方的产品包装必须保证产品质量在运输、储存过程中不降低。</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3、乙方对其供给甲方的产品必须进行可追溯性标识，同时须满足甲方的特定标识要求。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4、产品标识部位以不影响产品质量为原则，除甲方明确要求的标识部位外，乙方可自行选择部位，并将标识部位传给甲方备案。</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六</w:t>
      </w:r>
      <w:r>
        <w:rPr>
          <w:rFonts w:hint="eastAsia" w:ascii="宋体" w:hAnsi="宋体" w:eastAsia="宋体" w:cs="宋体"/>
          <w:b/>
          <w:color w:val="auto"/>
          <w:sz w:val="24"/>
          <w:szCs w:val="24"/>
        </w:rPr>
        <w:t xml:space="preserve">条  </w:t>
      </w:r>
      <w:r>
        <w:rPr>
          <w:rFonts w:hint="eastAsia" w:ascii="宋体" w:hAnsi="宋体" w:eastAsia="宋体" w:cs="宋体"/>
          <w:b/>
          <w:color w:val="auto"/>
          <w:sz w:val="24"/>
          <w:szCs w:val="24"/>
          <w:lang w:val="en-US" w:eastAsia="zh-CN"/>
        </w:rPr>
        <w:t>预验收及交货</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1、必要时甲方派专业人员在发货前20天到乙方工厂进行预验收，检查确认模具数量及结构完整，并签署预验收备忘录。</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2、交货地点：济南成型厂。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3、进厂检验：新工装到厂后，质量部核对乙方提供自检报告（表1），并进行硬度、三维扫描对比/划线等检验。</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4、做防锈处理。</w:t>
      </w:r>
    </w:p>
    <w:p>
      <w:pPr>
        <w:keepNext w:val="0"/>
        <w:keepLines w:val="0"/>
        <w:pageBreakBefore w:val="0"/>
        <w:widowControl w:val="0"/>
        <w:kinsoku/>
        <w:wordWrap/>
        <w:overflowPunct/>
        <w:topLinePunct w:val="0"/>
        <w:autoSpaceDE/>
        <w:autoSpaceDN/>
        <w:bidi w:val="0"/>
        <w:adjustRightInd/>
        <w:snapToGrid/>
        <w:spacing w:line="360" w:lineRule="auto"/>
        <w:ind w:left="402" w:hanging="482" w:hangingChars="200"/>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表1：</w:t>
      </w:r>
      <w:r>
        <w:rPr>
          <w:rFonts w:hint="eastAsia" w:ascii="宋体" w:hAnsi="宋体" w:cs="宋体"/>
          <w:b/>
          <w:color w:val="auto"/>
          <w:sz w:val="24"/>
          <w:szCs w:val="24"/>
          <w:lang w:eastAsia="zh-CN"/>
        </w:rPr>
        <w:t>甲方</w:t>
      </w:r>
      <w:r>
        <w:rPr>
          <w:rFonts w:hint="eastAsia" w:ascii="宋体" w:hAnsi="宋体" w:eastAsia="宋体" w:cs="宋体"/>
          <w:b/>
          <w:color w:val="auto"/>
          <w:sz w:val="24"/>
          <w:szCs w:val="24"/>
        </w:rPr>
        <w:t>要求</w:t>
      </w:r>
      <w:r>
        <w:rPr>
          <w:rFonts w:hint="eastAsia" w:ascii="宋体" w:hAnsi="宋体" w:cs="宋体"/>
          <w:b/>
          <w:color w:val="auto"/>
          <w:sz w:val="24"/>
          <w:szCs w:val="24"/>
          <w:lang w:eastAsia="zh-CN"/>
        </w:rPr>
        <w:t>乙方</w:t>
      </w:r>
      <w:r>
        <w:rPr>
          <w:rFonts w:hint="eastAsia" w:ascii="宋体" w:hAnsi="宋体" w:eastAsia="宋体" w:cs="宋体"/>
          <w:b/>
          <w:color w:val="auto"/>
          <w:sz w:val="24"/>
          <w:szCs w:val="24"/>
        </w:rPr>
        <w:t>提交的</w:t>
      </w:r>
      <w:r>
        <w:rPr>
          <w:rFonts w:hint="eastAsia" w:ascii="宋体" w:hAnsi="宋体" w:eastAsia="宋体" w:cs="宋体"/>
          <w:b/>
          <w:color w:val="auto"/>
          <w:sz w:val="24"/>
          <w:szCs w:val="24"/>
          <w:lang w:val="en-US" w:eastAsia="zh-CN"/>
        </w:rPr>
        <w:t>资料清单</w:t>
      </w:r>
    </w:p>
    <w:tbl>
      <w:tblPr>
        <w:tblStyle w:val="42"/>
        <w:tblpPr w:leftFromText="180" w:rightFromText="180" w:vertAnchor="text" w:horzAnchor="page" w:tblpX="1512" w:tblpY="156"/>
        <w:tblOverlap w:val="never"/>
        <w:tblW w:w="99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0"/>
        <w:gridCol w:w="1378"/>
        <w:gridCol w:w="25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资料明细</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要求</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.过程流程图（或工艺卡等相关文件）</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.控制计划（或作业指导文件等相关文件）</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炉温记录</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3.焊接部位的材料成分检测报告</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三维扫描</w:t>
            </w:r>
            <w:r>
              <w:rPr>
                <w:rFonts w:hint="eastAsia" w:ascii="宋体" w:hAnsi="宋体" w:eastAsia="宋体" w:cs="宋体"/>
                <w:color w:val="auto"/>
                <w:sz w:val="24"/>
                <w:szCs w:val="24"/>
              </w:rPr>
              <w:t>测量</w:t>
            </w:r>
            <w:r>
              <w:rPr>
                <w:rFonts w:hint="eastAsia" w:ascii="宋体" w:hAnsi="宋体" w:eastAsia="宋体" w:cs="宋体"/>
                <w:color w:val="auto"/>
                <w:sz w:val="24"/>
                <w:szCs w:val="24"/>
                <w:lang w:val="en-US" w:eastAsia="zh-CN"/>
              </w:rPr>
              <w:t>/划线报告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包括平面度</w:t>
            </w:r>
            <w:r>
              <w:rPr>
                <w:rFonts w:hint="eastAsia" w:ascii="宋体" w:hAnsi="宋体" w:cs="宋体"/>
                <w:color w:val="auto"/>
                <w:sz w:val="24"/>
                <w:szCs w:val="24"/>
                <w:lang w:val="en-US" w:eastAsia="zh-CN"/>
              </w:rPr>
              <w:t>、平行度</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基体以及维修部位</w:t>
            </w:r>
            <w:r>
              <w:rPr>
                <w:rFonts w:hint="eastAsia" w:ascii="宋体" w:hAnsi="宋体" w:cs="宋体"/>
                <w:color w:val="auto"/>
                <w:sz w:val="24"/>
                <w:szCs w:val="24"/>
                <w:lang w:val="en-US" w:eastAsia="zh-CN"/>
              </w:rPr>
              <w:t>硬度</w:t>
            </w:r>
            <w:r>
              <w:rPr>
                <w:rFonts w:hint="eastAsia" w:ascii="宋体" w:hAnsi="宋体" w:eastAsia="宋体" w:cs="宋体"/>
                <w:color w:val="auto"/>
                <w:sz w:val="24"/>
                <w:szCs w:val="24"/>
                <w:highlight w:val="none"/>
                <w:lang w:val="en-US" w:eastAsia="zh-CN"/>
              </w:rPr>
              <w:t>检</w:t>
            </w:r>
            <w:r>
              <w:rPr>
                <w:rFonts w:hint="eastAsia" w:ascii="宋体" w:hAnsi="宋体" w:eastAsia="宋体" w:cs="宋体"/>
                <w:color w:val="auto"/>
                <w:sz w:val="24"/>
                <w:szCs w:val="24"/>
                <w:lang w:val="en-US" w:eastAsia="zh-CN"/>
              </w:rPr>
              <w:t>测</w:t>
            </w:r>
            <w:r>
              <w:rPr>
                <w:rFonts w:hint="eastAsia" w:ascii="宋体" w:hAnsi="宋体" w:eastAsia="宋体" w:cs="宋体"/>
                <w:color w:val="auto"/>
                <w:sz w:val="24"/>
                <w:szCs w:val="24"/>
              </w:rPr>
              <w:t>结果</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.超声波探伤结果报告</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.工程变更文件，如果有</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bl>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上表中“ √”表示</w:t>
      </w:r>
      <w:r>
        <w:rPr>
          <w:rFonts w:hint="eastAsia" w:ascii="宋体" w:hAnsi="宋体" w:cs="宋体"/>
          <w:sz w:val="24"/>
          <w:szCs w:val="24"/>
          <w:lang w:eastAsia="zh-CN"/>
        </w:rPr>
        <w:t>乙方</w:t>
      </w:r>
      <w:r>
        <w:rPr>
          <w:rFonts w:hint="eastAsia" w:ascii="宋体" w:hAnsi="宋体" w:eastAsia="宋体" w:cs="宋体"/>
          <w:sz w:val="24"/>
          <w:szCs w:val="24"/>
          <w:lang w:val="en-US" w:eastAsia="zh-CN"/>
        </w:rPr>
        <w:t>必须</w:t>
      </w:r>
      <w:r>
        <w:rPr>
          <w:rFonts w:hint="eastAsia" w:ascii="宋体" w:hAnsi="宋体" w:eastAsia="宋体" w:cs="宋体"/>
          <w:sz w:val="24"/>
          <w:szCs w:val="24"/>
        </w:rPr>
        <w:t>提交的资料</w:t>
      </w:r>
      <w:r>
        <w:rPr>
          <w:rFonts w:hint="eastAsia" w:ascii="宋体" w:hAnsi="宋体" w:eastAsia="宋体" w:cs="宋体"/>
          <w:sz w:val="24"/>
          <w:szCs w:val="24"/>
          <w:lang w:eastAsia="zh-CN"/>
        </w:rPr>
        <w:t>，</w:t>
      </w:r>
      <w:r>
        <w:rPr>
          <w:rFonts w:hint="eastAsia" w:ascii="宋体" w:hAnsi="宋体" w:eastAsia="宋体" w:cs="宋体"/>
          <w:sz w:val="24"/>
          <w:szCs w:val="24"/>
        </w:rPr>
        <w:t>备注中填写数量、原件、复印件等说明。</w:t>
      </w:r>
    </w:p>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协  议  签  署</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jc w:val="cente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本协议一经双方认可签字盖章后，立即生效。</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rPr>
          <w:rFonts w:hint="eastAsia" w:ascii="宋体" w:hAnsi="宋体" w:eastAsia="宋体" w:cs="宋体"/>
          <w:sz w:val="24"/>
          <w:szCs w:val="24"/>
        </w:rPr>
      </w:pPr>
      <w:r>
        <w:rPr>
          <w:rFonts w:hint="eastAsia" w:ascii="宋体" w:hAnsi="宋体" w:eastAsia="宋体" w:cs="宋体"/>
          <w:sz w:val="24"/>
          <w:szCs w:val="24"/>
        </w:rPr>
        <w:t>本协议引起或与本协议有关的争议均应通过双方协商解决。</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r>
        <w:rPr>
          <w:rFonts w:hint="eastAsia" w:ascii="宋体" w:hAnsi="宋体" w:cs="宋体"/>
          <w:b/>
          <w:sz w:val="24"/>
          <w:szCs w:val="24"/>
          <w:lang w:eastAsia="zh-CN"/>
        </w:rPr>
        <w:t>甲方</w:t>
      </w:r>
      <w:r>
        <w:rPr>
          <w:rFonts w:hint="eastAsia" w:ascii="宋体" w:hAnsi="宋体" w:eastAsia="宋体" w:cs="宋体"/>
          <w:b/>
          <w:sz w:val="24"/>
          <w:szCs w:val="24"/>
        </w:rPr>
        <w:t>（盖章）：</w:t>
      </w:r>
      <w:r>
        <w:rPr>
          <w:rFonts w:hint="eastAsia" w:ascii="宋体" w:hAnsi="宋体" w:eastAsia="宋体" w:cs="宋体"/>
          <w:spacing w:val="-20"/>
          <w:sz w:val="24"/>
          <w:szCs w:val="24"/>
        </w:rPr>
        <w:t>中国重汽集团济南动力有限公司</w:t>
      </w:r>
      <w:r>
        <w:rPr>
          <w:rFonts w:hint="eastAsia" w:ascii="宋体" w:hAnsi="宋体" w:eastAsia="宋体" w:cs="宋体"/>
          <w:b/>
          <w:spacing w:val="-20"/>
          <w:sz w:val="24"/>
          <w:szCs w:val="24"/>
        </w:rPr>
        <w:t xml:space="preserve">   </w:t>
      </w:r>
      <w:r>
        <w:rPr>
          <w:rFonts w:hint="eastAsia" w:ascii="宋体" w:hAnsi="宋体" w:eastAsia="宋体" w:cs="宋体"/>
          <w:b/>
          <w:sz w:val="24"/>
          <w:szCs w:val="24"/>
        </w:rPr>
        <w:t xml:space="preserve">     </w:t>
      </w:r>
      <w:r>
        <w:rPr>
          <w:rFonts w:hint="eastAsia" w:ascii="宋体" w:hAnsi="宋体" w:cs="宋体"/>
          <w:b/>
          <w:sz w:val="24"/>
          <w:szCs w:val="24"/>
          <w:lang w:eastAsia="zh-CN"/>
        </w:rPr>
        <w:t>乙方</w:t>
      </w:r>
      <w:r>
        <w:rPr>
          <w:rFonts w:hint="eastAsia" w:ascii="宋体" w:hAnsi="宋体" w:eastAsia="宋体" w:cs="宋体"/>
          <w:b/>
          <w:sz w:val="24"/>
          <w:szCs w:val="24"/>
        </w:rPr>
        <w:t xml:space="preserve">（盖章）：                   </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r>
        <w:rPr>
          <w:rFonts w:hint="eastAsia" w:ascii="宋体" w:hAnsi="宋体" w:eastAsia="宋体" w:cs="宋体"/>
          <w:b/>
          <w:sz w:val="24"/>
          <w:szCs w:val="24"/>
        </w:rPr>
        <w:t>法定代表人：                                   法定代表人：</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b/>
          <w:sz w:val="24"/>
          <w:szCs w:val="24"/>
        </w:rPr>
        <w:t xml:space="preserve">（或授权委托人）：                  </w:t>
      </w:r>
      <w:r>
        <w:rPr>
          <w:rFonts w:hint="eastAsia" w:ascii="宋体" w:hAnsi="宋体" w:cs="宋体"/>
          <w:b/>
          <w:sz w:val="24"/>
          <w:szCs w:val="24"/>
          <w:lang w:val="en-US" w:eastAsia="zh-CN"/>
        </w:rPr>
        <w:t xml:space="preserve">          </w:t>
      </w:r>
      <w:r>
        <w:rPr>
          <w:rFonts w:hint="eastAsia" w:ascii="宋体" w:hAnsi="宋体" w:eastAsia="宋体" w:cs="宋体"/>
          <w:b/>
          <w:sz w:val="24"/>
          <w:szCs w:val="24"/>
        </w:rPr>
        <w:t>（或授权委托人）</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签订日期：   年  月  日                      签订日期：   年  月  日</w:t>
      </w:r>
    </w:p>
    <w:p>
      <w:pPr>
        <w:sectPr>
          <w:pgSz w:w="11907" w:h="16840"/>
          <w:pgMar w:top="1304" w:right="1418" w:bottom="1304" w:left="1418" w:header="724" w:footer="851" w:gutter="0"/>
          <w:cols w:space="720" w:num="1"/>
          <w:docGrid w:linePitch="290" w:charSpace="-3931"/>
        </w:sectPr>
      </w:pPr>
    </w:p>
    <w:p/>
    <w:p>
      <w:pPr>
        <w:pStyle w:val="23"/>
      </w:pPr>
    </w:p>
    <w:p>
      <w:pPr>
        <w:spacing w:line="360" w:lineRule="auto"/>
        <w:jc w:val="center"/>
        <w:outlineLvl w:val="0"/>
        <w:rPr>
          <w:rFonts w:ascii="宋体" w:hAnsi="Calibri" w:eastAsia="宋体" w:cs="Times New Roman"/>
          <w:b/>
          <w:sz w:val="36"/>
          <w:szCs w:val="36"/>
        </w:rPr>
      </w:pPr>
      <w:bookmarkStart w:id="96"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6"/>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7" w:name="_Toc20872"/>
      <w:bookmarkStart w:id="98" w:name="_Toc15851"/>
      <w:bookmarkStart w:id="99"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7"/>
      <w:bookmarkEnd w:id="98"/>
      <w:bookmarkEnd w:id="99"/>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1</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MP切边模箱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2</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MP切边模箱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3</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曲轴切边下模箱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1</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MP切边模箱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2</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MP切边模箱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3</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曲轴切边下模箱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MP切边模箱</w:t>
            </w:r>
          </w:p>
        </w:tc>
        <w:tc>
          <w:tcPr>
            <w:tcW w:w="242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4795006-10.100-1#</w:t>
            </w:r>
          </w:p>
        </w:tc>
        <w:tc>
          <w:tcPr>
            <w:tcW w:w="891"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MP切边模箱</w:t>
            </w:r>
          </w:p>
        </w:tc>
        <w:tc>
          <w:tcPr>
            <w:tcW w:w="242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4795006-10.100-2#</w:t>
            </w: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曲轴切边下模箱</w:t>
            </w:r>
          </w:p>
        </w:tc>
        <w:tc>
          <w:tcPr>
            <w:tcW w:w="2420" w:type="dxa"/>
            <w:vAlign w:val="center"/>
          </w:tcPr>
          <w:p>
            <w:pPr>
              <w:keepNext w:val="0"/>
              <w:keepLines w:val="0"/>
              <w:widowControl/>
              <w:suppressLineNumbers w:val="0"/>
              <w:ind w:firstLine="260" w:firstLineChars="10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4795007-10.011</w:t>
            </w: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2"/>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3"/>
              <w:numPr>
                <w:ilvl w:val="0"/>
                <w:numId w:val="11"/>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0"/>
  </w:num>
  <w:num w:numId="4">
    <w:abstractNumId w:val="5"/>
  </w:num>
  <w:num w:numId="5">
    <w:abstractNumId w:val="3"/>
  </w:num>
  <w:num w:numId="6">
    <w:abstractNumId w:val="7"/>
  </w:num>
  <w:num w:numId="7">
    <w:abstractNumId w:val="2"/>
  </w:num>
  <w:num w:numId="8">
    <w:abstractNumId w:val="6"/>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625BF"/>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B27E3"/>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321C77"/>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7E7ECF"/>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A85E79"/>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673ED3"/>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673F4"/>
    <w:rsid w:val="382C7B34"/>
    <w:rsid w:val="38662298"/>
    <w:rsid w:val="38715CEA"/>
    <w:rsid w:val="388A3751"/>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B939E6"/>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3057A"/>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FE0080"/>
    <w:rsid w:val="43315D2E"/>
    <w:rsid w:val="43824A1C"/>
    <w:rsid w:val="4390486D"/>
    <w:rsid w:val="4399333D"/>
    <w:rsid w:val="43B2241F"/>
    <w:rsid w:val="43C3013B"/>
    <w:rsid w:val="43CE64CC"/>
    <w:rsid w:val="43D110E1"/>
    <w:rsid w:val="43E873C9"/>
    <w:rsid w:val="44250817"/>
    <w:rsid w:val="4429652B"/>
    <w:rsid w:val="443A2BAE"/>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4C3E84"/>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BE7D4E"/>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5D2E7B"/>
    <w:rsid w:val="4D6238ED"/>
    <w:rsid w:val="4D6B06B3"/>
    <w:rsid w:val="4D7322D5"/>
    <w:rsid w:val="4D865EF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CC14F3"/>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620C1"/>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C7EBD"/>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AB3187"/>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81027"/>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E013EE"/>
    <w:rsid w:val="6EE079F1"/>
    <w:rsid w:val="6EE42C42"/>
    <w:rsid w:val="6F1B5C73"/>
    <w:rsid w:val="6F211A55"/>
    <w:rsid w:val="6F7F7CB0"/>
    <w:rsid w:val="6F952AA2"/>
    <w:rsid w:val="6FBB0A5D"/>
    <w:rsid w:val="6FE0165C"/>
    <w:rsid w:val="6FE6309C"/>
    <w:rsid w:val="6FF0551E"/>
    <w:rsid w:val="700A405F"/>
    <w:rsid w:val="70104DC1"/>
    <w:rsid w:val="70222744"/>
    <w:rsid w:val="703107FE"/>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E102DE"/>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60EE9"/>
    <w:rsid w:val="77BA4E88"/>
    <w:rsid w:val="77E34EB2"/>
    <w:rsid w:val="78005DBA"/>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5E5851"/>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jc w:val="center"/>
      <w:outlineLvl w:val="0"/>
    </w:pPr>
    <w:rPr>
      <w:b/>
      <w:bCs/>
      <w:kern w:val="44"/>
      <w:sz w:val="36"/>
      <w:szCs w:val="44"/>
    </w:rPr>
  </w:style>
  <w:style w:type="paragraph" w:styleId="3">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9"/>
    <w:rPr>
      <w:rFonts w:ascii="Calibri" w:hAnsi="Calibri" w:eastAsia="宋体" w:cs="Times New Roman"/>
      <w:b/>
      <w:bCs/>
      <w:kern w:val="44"/>
      <w:sz w:val="36"/>
      <w:szCs w:val="44"/>
    </w:rPr>
  </w:style>
  <w:style w:type="character" w:customStyle="1" w:styleId="53">
    <w:name w:val="标题 2 字符"/>
    <w:basedOn w:val="44"/>
    <w:link w:val="3"/>
    <w:qFormat/>
    <w:uiPriority w:val="9"/>
    <w:rPr>
      <w:rFonts w:ascii="Arial" w:hAnsi="Arial" w:eastAsia="宋体" w:cs="Times New Roman"/>
      <w:b/>
      <w:bCs/>
      <w:sz w:val="24"/>
      <w:szCs w:val="32"/>
    </w:rPr>
  </w:style>
  <w:style w:type="character" w:customStyle="1" w:styleId="54">
    <w:name w:val="标题 3 字符"/>
    <w:basedOn w:val="44"/>
    <w:link w:val="4"/>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7"/>
    <w:qFormat/>
    <w:uiPriority w:val="9"/>
    <w:rPr>
      <w:rFonts w:ascii="Arial" w:hAnsi="Arial" w:eastAsia="黑体" w:cstheme="minorBidi"/>
      <w:b/>
      <w:kern w:val="2"/>
      <w:sz w:val="24"/>
      <w:szCs w:val="22"/>
    </w:rPr>
  </w:style>
  <w:style w:type="character" w:customStyle="1" w:styleId="150">
    <w:name w:val="标题 7 字符"/>
    <w:basedOn w:val="44"/>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5"/>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2025-10-24T01:42:26Z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